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EE85D">
      <w:pPr>
        <w:jc w:val="center"/>
        <w:rPr>
          <w:rFonts w:ascii="Lucida Handwriting" w:hAnsi="Lucida Handwriting"/>
        </w:rPr>
      </w:pPr>
      <w:r>
        <w:rPr>
          <w:rFonts w:ascii="Lucida Handwriting" w:hAnsi="Lucida Handwriting"/>
        </w:rPr>
        <w:t>TURISTI</w:t>
      </w:r>
      <w:r>
        <w:t>Č</w:t>
      </w:r>
      <w:r>
        <w:rPr>
          <w:rFonts w:ascii="Lucida Handwriting" w:hAnsi="Lucida Handwriting"/>
        </w:rPr>
        <w:t>KA ZAJEDNICA OP</w:t>
      </w:r>
      <w:r>
        <w:t>Ć</w:t>
      </w:r>
      <w:r>
        <w:rPr>
          <w:rFonts w:ascii="Lucida Handwriting" w:hAnsi="Lucida Handwriting"/>
        </w:rPr>
        <w:t>INE SALI</w:t>
      </w:r>
    </w:p>
    <w:p w14:paraId="17E7A945"/>
    <w:p w14:paraId="459701E4"/>
    <w:p w14:paraId="59666067"/>
    <w:p w14:paraId="67C34492"/>
    <w:p w14:paraId="3C581204">
      <w:pPr>
        <w:jc w:val="center"/>
      </w:pPr>
    </w:p>
    <w:p w14:paraId="6FAFFD42">
      <w:pPr>
        <w:jc w:val="center"/>
      </w:pPr>
    </w:p>
    <w:p w14:paraId="51105BF2">
      <w:pPr>
        <w:jc w:val="center"/>
      </w:pPr>
    </w:p>
    <w:p w14:paraId="0985BEFD">
      <w:pPr>
        <w:jc w:val="center"/>
      </w:pPr>
    </w:p>
    <w:p w14:paraId="453EA167">
      <w:pPr>
        <w:jc w:val="center"/>
      </w:pPr>
      <w:r>
        <w:rPr>
          <w:color w:val="DEEBF7" w:themeColor="accent1" w:themeTint="33"/>
          <w14:textFill>
            <w14:solidFill>
              <w14:schemeClr w14:val="accent1">
                <w14:lumMod w14:val="20000"/>
                <w14:lumOff w14:val="80000"/>
              </w14:schemeClr>
            </w14:solidFill>
          </w14:textFill>
        </w:rPr>
        <w:drawing>
          <wp:inline distT="0" distB="0" distL="0" distR="0">
            <wp:extent cx="2028825" cy="1619250"/>
            <wp:effectExtent l="19050" t="0" r="9525" b="0"/>
            <wp:docPr id="1" name="Picture 1" descr="TZDO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ZDO Logo color"/>
                    <pic:cNvPicPr>
                      <a:picLocks noChangeAspect="1" noChangeArrowheads="1"/>
                    </pic:cNvPicPr>
                  </pic:nvPicPr>
                  <pic:blipFill>
                    <a:blip r:embed="rId7" cstate="print"/>
                    <a:srcRect/>
                    <a:stretch>
                      <a:fillRect/>
                    </a:stretch>
                  </pic:blipFill>
                  <pic:spPr>
                    <a:xfrm>
                      <a:off x="0" y="0"/>
                      <a:ext cx="2028825" cy="1619250"/>
                    </a:xfrm>
                    <a:prstGeom prst="rect">
                      <a:avLst/>
                    </a:prstGeom>
                    <a:noFill/>
                    <a:ln w="9525">
                      <a:noFill/>
                      <a:miter lim="800000"/>
                      <a:headEnd/>
                      <a:tailEnd/>
                    </a:ln>
                  </pic:spPr>
                </pic:pic>
              </a:graphicData>
            </a:graphic>
          </wp:inline>
        </w:drawing>
      </w:r>
    </w:p>
    <w:p w14:paraId="73017E31"/>
    <w:p w14:paraId="18F55E52"/>
    <w:p w14:paraId="000E106B"/>
    <w:p w14:paraId="0F089E33"/>
    <w:p w14:paraId="60295DF6"/>
    <w:p w14:paraId="3AD217BA"/>
    <w:p w14:paraId="3FA9156E"/>
    <w:p w14:paraId="3290433E"/>
    <w:p w14:paraId="2C345467">
      <w:pPr>
        <w:rPr>
          <w:rFonts w:ascii="Lucida Handwriting" w:hAnsi="Lucida Handwriting"/>
        </w:rPr>
      </w:pPr>
    </w:p>
    <w:p w14:paraId="55839215">
      <w:pPr>
        <w:jc w:val="center"/>
        <w:rPr>
          <w:rFonts w:ascii="Lucida Handwriting" w:hAnsi="Lucida Handwriting"/>
          <w:b/>
          <w:sz w:val="28"/>
          <w:szCs w:val="28"/>
        </w:rPr>
      </w:pPr>
      <w:r>
        <w:rPr>
          <w:rFonts w:ascii="Lucida Handwriting" w:hAnsi="Lucida Handwriting"/>
          <w:b/>
          <w:sz w:val="28"/>
          <w:szCs w:val="28"/>
        </w:rPr>
        <w:t>IZVJEŠ</w:t>
      </w:r>
      <w:r>
        <w:rPr>
          <w:b/>
          <w:sz w:val="28"/>
          <w:szCs w:val="28"/>
        </w:rPr>
        <w:t>Ć</w:t>
      </w:r>
      <w:r>
        <w:rPr>
          <w:rFonts w:ascii="Lucida Handwriting" w:hAnsi="Lucida Handwriting"/>
          <w:b/>
          <w:sz w:val="28"/>
          <w:szCs w:val="28"/>
        </w:rPr>
        <w:t>E O IZVRŠENJU PROGRAMA RADA</w:t>
      </w:r>
    </w:p>
    <w:p w14:paraId="0C20045A">
      <w:pPr>
        <w:jc w:val="center"/>
        <w:rPr>
          <w:rFonts w:ascii="Lucida Handwriting" w:hAnsi="Lucida Handwriting"/>
          <w:b/>
          <w:sz w:val="28"/>
          <w:szCs w:val="28"/>
        </w:rPr>
      </w:pPr>
      <w:r>
        <w:rPr>
          <w:rFonts w:ascii="Lucida Handwriting" w:hAnsi="Lucida Handwriting"/>
          <w:b/>
          <w:sz w:val="28"/>
          <w:szCs w:val="28"/>
        </w:rPr>
        <w:t>ZA 202</w:t>
      </w:r>
      <w:r>
        <w:rPr>
          <w:rFonts w:hint="default" w:ascii="Lucida Handwriting" w:hAnsi="Lucida Handwriting"/>
          <w:b/>
          <w:sz w:val="28"/>
          <w:szCs w:val="28"/>
          <w:lang w:val="hr-HR"/>
        </w:rPr>
        <w:t>5</w:t>
      </w:r>
      <w:r>
        <w:rPr>
          <w:rFonts w:ascii="Lucida Handwriting" w:hAnsi="Lucida Handwriting"/>
          <w:b/>
          <w:sz w:val="28"/>
          <w:szCs w:val="28"/>
        </w:rPr>
        <w:t>.G.</w:t>
      </w:r>
    </w:p>
    <w:p w14:paraId="2FE0F13F">
      <w:pPr>
        <w:rPr>
          <w:sz w:val="28"/>
          <w:szCs w:val="28"/>
        </w:rPr>
      </w:pPr>
    </w:p>
    <w:p w14:paraId="04BC4C92"/>
    <w:p w14:paraId="1F2FE1E4"/>
    <w:p w14:paraId="4CEA1963"/>
    <w:p w14:paraId="3C1A2835"/>
    <w:p w14:paraId="57F8002D"/>
    <w:p w14:paraId="60577D4F"/>
    <w:p w14:paraId="7A9AC77E"/>
    <w:p w14:paraId="1A47DAC2"/>
    <w:p w14:paraId="2AFA08EE"/>
    <w:p w14:paraId="72A27A9B"/>
    <w:p w14:paraId="3686153E"/>
    <w:p w14:paraId="6061FFDF"/>
    <w:p w14:paraId="12F5431F"/>
    <w:p w14:paraId="6CA57CD0"/>
    <w:p w14:paraId="583ECC66"/>
    <w:p w14:paraId="5DF12B00"/>
    <w:p w14:paraId="6AEA11D4">
      <w:pPr>
        <w:jc w:val="center"/>
        <w:rPr>
          <w:rFonts w:hint="default" w:ascii="Lucida Handwriting" w:hAnsi="Lucida Handwriting"/>
          <w:lang w:val="hr-HR"/>
        </w:rPr>
      </w:pPr>
      <w:r>
        <w:rPr>
          <w:rFonts w:ascii="Lucida Handwriting" w:hAnsi="Lucida Handwriting"/>
        </w:rPr>
        <w:t>O</w:t>
      </w:r>
      <w:r>
        <w:t>ŽUJAK</w:t>
      </w:r>
      <w:r>
        <w:rPr>
          <w:rFonts w:ascii="Lucida Handwriting" w:hAnsi="Lucida Handwriting"/>
        </w:rPr>
        <w:t>, 202</w:t>
      </w:r>
      <w:r>
        <w:rPr>
          <w:rFonts w:hint="default" w:ascii="Lucida Handwriting" w:hAnsi="Lucida Handwriting"/>
          <w:lang w:val="hr-HR"/>
        </w:rPr>
        <w:t>6</w:t>
      </w:r>
    </w:p>
    <w:p w14:paraId="3F3402AD">
      <w:pPr>
        <w:jc w:val="center"/>
        <w:rPr>
          <w:rFonts w:ascii="Lucida Handwriting" w:hAnsi="Lucida Handwriting"/>
        </w:rPr>
      </w:pPr>
      <w:r>
        <w:rPr>
          <w:b/>
        </w:rPr>
        <w:t>IZVJEŠĆE O IZVRŠENJU PROGRAMA RADA ZA 202</w:t>
      </w:r>
      <w:r>
        <w:rPr>
          <w:rFonts w:hint="default"/>
          <w:b/>
          <w:lang w:val="hr-HR"/>
        </w:rPr>
        <w:t>5</w:t>
      </w:r>
      <w:r>
        <w:rPr>
          <w:b/>
        </w:rPr>
        <w:t>.g.</w:t>
      </w:r>
    </w:p>
    <w:p w14:paraId="237CA569">
      <w:pPr>
        <w:jc w:val="center"/>
        <w:rPr>
          <w:b/>
        </w:rPr>
      </w:pPr>
    </w:p>
    <w:p w14:paraId="322DAAC2">
      <w:pPr>
        <w:rPr>
          <w:b/>
        </w:rPr>
      </w:pPr>
    </w:p>
    <w:p w14:paraId="3DC4764D">
      <w:pPr>
        <w:rPr>
          <w:b/>
        </w:rPr>
      </w:pPr>
      <w:r>
        <w:rPr>
          <w:b/>
        </w:rPr>
        <w:t>Podaci o ostvarenom turističkom prometu u 202</w:t>
      </w:r>
      <w:r>
        <w:rPr>
          <w:rFonts w:hint="default"/>
          <w:b/>
          <w:lang w:val="hr-HR"/>
        </w:rPr>
        <w:t>5</w:t>
      </w:r>
      <w:r>
        <w:rPr>
          <w:b/>
        </w:rPr>
        <w:t>. godini</w:t>
      </w:r>
    </w:p>
    <w:p w14:paraId="584E6981">
      <w:pPr>
        <w:rPr>
          <w:b/>
        </w:rPr>
      </w:pPr>
    </w:p>
    <w:p w14:paraId="64612E5A">
      <w:pPr>
        <w:rPr>
          <w:rFonts w:hint="default"/>
          <w:lang w:val="hr-HR"/>
        </w:rPr>
      </w:pPr>
      <w:r>
        <w:t>U 202</w:t>
      </w:r>
      <w:r>
        <w:rPr>
          <w:rFonts w:hint="default"/>
          <w:lang w:val="hr-HR"/>
        </w:rPr>
        <w:t>5</w:t>
      </w:r>
      <w:r>
        <w:t>.g. do kraja godine ostvaren je turistički promet od 26.</w:t>
      </w:r>
      <w:r>
        <w:rPr>
          <w:rFonts w:hint="default"/>
          <w:lang w:val="hr-HR"/>
        </w:rPr>
        <w:t>235</w:t>
      </w:r>
      <w:r>
        <w:t xml:space="preserve"> dolazaka gostiju koji su ostvarili 1</w:t>
      </w:r>
      <w:r>
        <w:rPr>
          <w:rFonts w:hint="default"/>
          <w:lang w:val="hr-HR"/>
        </w:rPr>
        <w:t>83</w:t>
      </w:r>
      <w:r>
        <w:t xml:space="preserve">.000 noćenja. U odnosu na prošlu godinu ostvareno je </w:t>
      </w:r>
      <w:r>
        <w:rPr>
          <w:rFonts w:hint="default"/>
          <w:lang w:val="hr-HR"/>
        </w:rPr>
        <w:t>99,16%</w:t>
      </w:r>
      <w:r>
        <w:t xml:space="preserve"> dolazaka i </w:t>
      </w:r>
      <w:r>
        <w:rPr>
          <w:rFonts w:hint="default"/>
          <w:lang w:val="hr-HR"/>
        </w:rPr>
        <w:t xml:space="preserve">100,23%  </w:t>
      </w:r>
      <w:r>
        <w:t>noćenja</w:t>
      </w:r>
      <w:r>
        <w:rPr>
          <w:rFonts w:hint="default"/>
          <w:lang w:val="hr-HR"/>
        </w:rPr>
        <w:t xml:space="preserve"> u odnosu na prošlu godinu.</w:t>
      </w:r>
    </w:p>
    <w:p w14:paraId="02CDD8AF">
      <w:r>
        <w:t xml:space="preserve">Unatoč statističkim pokazateljima na „terenu“ je slika bila drugačija. Odnosno, s obzirom da mjeseci izvan sezone (svibanj, lipanj, rujan ) pokazuju povećanja u dolascima i noćenjima, u prosjeku za 5%, a u sezoni (srpanj i kolovoz) nije bilo moguće pronaći slobodan smještaj, pretpostavka je da ovaj pad bilježimo zbog ne prijavljivanja gostiju.  </w:t>
      </w:r>
    </w:p>
    <w:p w14:paraId="5391B9F7">
      <w:pPr>
        <w:rPr>
          <w:rFonts w:hint="default"/>
          <w:lang w:val="hr-HR"/>
        </w:rPr>
      </w:pPr>
      <w:r>
        <w:t>Nautika je pokazala odlične rezultate, ali nažalost statistike od nautike nemamo. Vidljivo je da su rezultati bolji od 202</w:t>
      </w:r>
      <w:r>
        <w:rPr>
          <w:rFonts w:hint="default"/>
          <w:lang w:val="hr-HR"/>
        </w:rPr>
        <w:t>4</w:t>
      </w:r>
      <w:r>
        <w:t xml:space="preserve">. godine </w:t>
      </w:r>
      <w:r>
        <w:rPr>
          <w:lang w:val="hr-HR"/>
        </w:rPr>
        <w:t>š</w:t>
      </w:r>
      <w:r>
        <w:rPr>
          <w:rFonts w:hint="default"/>
          <w:lang w:val="hr-HR"/>
        </w:rPr>
        <w:t>to se tiče naših luka i privezišta</w:t>
      </w:r>
      <w:r>
        <w:t xml:space="preserve">, </w:t>
      </w:r>
      <w:r>
        <w:rPr>
          <w:rFonts w:hint="default"/>
          <w:lang w:val="hr-HR"/>
        </w:rPr>
        <w:t>međutim</w:t>
      </w:r>
      <w:r>
        <w:t xml:space="preserve"> u većini destinacija u Hrvatskoj</w:t>
      </w:r>
      <w:r>
        <w:rPr>
          <w:rFonts w:hint="default"/>
          <w:lang w:val="hr-HR"/>
        </w:rPr>
        <w:t xml:space="preserve"> se bilježi pad, pa nam je is toga razloga uplaćeno manje TP za nautiku.</w:t>
      </w:r>
    </w:p>
    <w:p w14:paraId="380187BB">
      <w:pPr>
        <w:ind w:left="360"/>
        <w:rPr>
          <w:b/>
          <w:sz w:val="28"/>
          <w:szCs w:val="28"/>
        </w:rPr>
      </w:pPr>
    </w:p>
    <w:p w14:paraId="582B04BB">
      <w:pPr>
        <w:ind w:left="360"/>
        <w:rPr>
          <w:b/>
          <w:sz w:val="28"/>
          <w:szCs w:val="28"/>
        </w:rPr>
      </w:pPr>
    </w:p>
    <w:p w14:paraId="409D7CA6">
      <w:pPr>
        <w:pStyle w:val="13"/>
        <w:numPr>
          <w:ilvl w:val="0"/>
          <w:numId w:val="1"/>
        </w:numPr>
        <w:rPr>
          <w:b/>
        </w:rPr>
      </w:pPr>
      <w:r>
        <w:rPr>
          <w:b/>
        </w:rPr>
        <w:t>IZVJEŠĆE O IZVRŠENJU PROGRAM RADA TURISTIČKE ZAJEDNICE OPĆINE SALI</w:t>
      </w:r>
    </w:p>
    <w:p w14:paraId="583E73C4"/>
    <w:p w14:paraId="2E600B14">
      <w:pPr>
        <w:rPr>
          <w:b/>
        </w:rPr>
      </w:pPr>
      <w:r>
        <w:rPr>
          <w:b/>
        </w:rPr>
        <w:t>Osnovne pretpostavke planiranja</w:t>
      </w:r>
    </w:p>
    <w:p w14:paraId="4AB4E338"/>
    <w:p w14:paraId="0450729E">
      <w:r>
        <w:t>Prilikom definiranja godišnjeg programa rada turističke zajednice općine Sali, polazište je u osnovnim ciljevima koji su definirani u članku 9. Zakona o turističkim zajednicama i promicanju hrvatskog turizma (NN 52/19 i 42/20), te je u skladu s navedenim rad turističke zajednice općine Sali usmjeren je na tri glavna pravca djelovanja:</w:t>
      </w:r>
    </w:p>
    <w:p w14:paraId="5F355D7D"/>
    <w:p w14:paraId="55169B83">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A. razvoj i marketing destinacije </w:t>
      </w:r>
      <w:r>
        <w:rPr>
          <w:rFonts w:eastAsiaTheme="minorHAnsi"/>
          <w:color w:val="000000" w:themeColor="text1"/>
          <w:lang w:eastAsia="en-US"/>
          <w14:textFill>
            <w14:solidFill>
              <w14:schemeClr w14:val="tx1"/>
            </w14:solidFill>
          </w14:textFill>
        </w:rPr>
        <w:t>kroz koordiniranje ključnih aktivnosti turističkog razvoja (planiranje, razvoj turističkih proizvoda u destinaciji, financiranje, donošenje i provedba odluka), u skladu s dokumentima kojima se definira nacionalna strategija razvoja turizma.</w:t>
      </w:r>
    </w:p>
    <w:p w14:paraId="521AF6A2">
      <w:pPr>
        <w:rPr>
          <w:rFonts w:eastAsiaTheme="minorHAnsi"/>
          <w:color w:val="000000" w:themeColor="text1"/>
          <w:lang w:eastAsia="en-US"/>
          <w14:textFill>
            <w14:solidFill>
              <w14:schemeClr w14:val="tx1"/>
            </w14:solidFill>
          </w14:textFill>
        </w:rPr>
      </w:pPr>
    </w:p>
    <w:p w14:paraId="795C6F14">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B. osiguravanje cjelovitije zastupljenosti specifičnih lokalnih interesa </w:t>
      </w:r>
      <w:r>
        <w:rPr>
          <w:rFonts w:eastAsiaTheme="minorHAnsi"/>
          <w:color w:val="000000" w:themeColor="text1"/>
          <w:lang w:eastAsia="en-US"/>
          <w14:textFill>
            <w14:solidFill>
              <w14:schemeClr w14:val="tx1"/>
            </w14:solidFill>
          </w14:textFill>
        </w:rPr>
        <w:t>kroz jačanje lokalne inicijative i povezivanje dionika</w:t>
      </w:r>
      <w:r>
        <w:rPr>
          <w:rFonts w:eastAsiaTheme="minorHAnsi"/>
          <w:b/>
          <w:bCs/>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na lokalnom/regionalnom nivou radi stvaranje</w:t>
      </w:r>
      <w:r>
        <w:rPr>
          <w:rFonts w:eastAsiaTheme="minorHAnsi"/>
          <w:b/>
          <w:bCs/>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konkurentnih turističkih proizvoda.</w:t>
      </w:r>
    </w:p>
    <w:p w14:paraId="6DF0DBED">
      <w:pPr>
        <w:autoSpaceDE w:val="0"/>
        <w:autoSpaceDN w:val="0"/>
        <w:adjustRightInd w:val="0"/>
        <w:rPr>
          <w:rFonts w:eastAsiaTheme="minorHAnsi"/>
          <w:b/>
          <w:bCs/>
          <w:color w:val="000000" w:themeColor="text1"/>
          <w:lang w:eastAsia="en-US"/>
          <w14:textFill>
            <w14:solidFill>
              <w14:schemeClr w14:val="tx1"/>
            </w14:solidFill>
          </w14:textFill>
        </w:rPr>
      </w:pPr>
    </w:p>
    <w:p w14:paraId="2C592A71">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 poboljšanje uvjeta boravka turista u destinaciji </w:t>
      </w:r>
      <w:r>
        <w:rPr>
          <w:rFonts w:eastAsiaTheme="minorHAnsi"/>
          <w:color w:val="000000" w:themeColor="text1"/>
          <w:lang w:eastAsia="en-US"/>
          <w14:textFill>
            <w14:solidFill>
              <w14:schemeClr w14:val="tx1"/>
            </w14:solidFill>
          </w14:textFill>
        </w:rPr>
        <w:t>te razvijanje svijesti o važnosti i gospodarskim, društvenim i drugim učincima turizma, kao i potrebi i važnosti očuvanja i unaprjeđenja svih elemenata turističke resursne osnove destinacije, a osobito zaštite okoliša, kao i prirodne i kulturne baštine sukladno načelima održivog razvoja.</w:t>
      </w:r>
    </w:p>
    <w:p w14:paraId="56A8D1A5">
      <w:pPr>
        <w:rPr>
          <w:color w:val="000000" w:themeColor="text1"/>
          <w14:textFill>
            <w14:solidFill>
              <w14:schemeClr w14:val="tx1"/>
            </w14:solidFill>
          </w14:textFill>
        </w:rPr>
      </w:pPr>
    </w:p>
    <w:p w14:paraId="003169B3">
      <w:pPr>
        <w:rPr>
          <w:color w:val="000000"/>
        </w:rPr>
      </w:pPr>
      <w:r>
        <w:rPr>
          <w:color w:val="000000"/>
        </w:rPr>
        <w:t>Zadaće turističke zajednice općine Sali sadržane  u Zakonu o turističkim zajednicama i promicanju hrvatskog turizma (</w:t>
      </w:r>
      <w:r>
        <w:t>NN 52/19 i 42/20)</w:t>
      </w:r>
      <w:r>
        <w:rPr>
          <w:color w:val="000000"/>
        </w:rPr>
        <w:t>, kao lokalne destinacijske menadžment organizacije, su sljedeće:</w:t>
      </w:r>
    </w:p>
    <w:p w14:paraId="0A8CB908">
      <w:pPr>
        <w:rPr>
          <w:color w:val="000000"/>
        </w:rPr>
      </w:pPr>
    </w:p>
    <w:p w14:paraId="16D63A7C">
      <w:pPr>
        <w:jc w:val="both"/>
        <w:rPr>
          <w:color w:val="000000"/>
        </w:rPr>
      </w:pPr>
      <w:r>
        <w:rPr>
          <w:color w:val="000000"/>
        </w:rPr>
        <w:t>1. Razvoj proizvoda</w:t>
      </w:r>
    </w:p>
    <w:p w14:paraId="077619AC">
      <w:pPr>
        <w:jc w:val="both"/>
        <w:rPr>
          <w:color w:val="000000"/>
        </w:rPr>
      </w:pPr>
    </w:p>
    <w:p w14:paraId="49B79B5D">
      <w:pPr>
        <w:jc w:val="both"/>
        <w:rPr>
          <w:color w:val="000000"/>
        </w:rPr>
      </w:pPr>
      <w:r>
        <w:rPr>
          <w:color w:val="000000"/>
        </w:rPr>
        <w:t>1.1. sudjelovanje u planiranju i provedbi ključnih investicijskih projekata javnog sektora i ključnih projekata podizanja konkurentnosti destinacije</w:t>
      </w:r>
    </w:p>
    <w:p w14:paraId="50DE3A5A">
      <w:pPr>
        <w:jc w:val="both"/>
        <w:rPr>
          <w:color w:val="000000"/>
        </w:rPr>
      </w:pPr>
      <w:r>
        <w:rPr>
          <w:color w:val="000000"/>
        </w:rPr>
        <w:t>1.2. koordinacija i komunikacija s dionicima privatnog i javnog sektora u destinaciji</w:t>
      </w:r>
    </w:p>
    <w:p w14:paraId="05A9A2ED">
      <w:pPr>
        <w:jc w:val="both"/>
        <w:rPr>
          <w:color w:val="000000"/>
        </w:rPr>
      </w:pPr>
      <w:r>
        <w:rPr>
          <w:color w:val="000000"/>
        </w:rPr>
        <w:t>1.3. razvojne aktivnosti vezane uz povezivanje elemenata ponude u pakete i proizvode – inkubatori inovativnih destinacijskih doživljaja i proizvoda</w:t>
      </w:r>
    </w:p>
    <w:p w14:paraId="1E621810">
      <w:pPr>
        <w:jc w:val="both"/>
        <w:rPr>
          <w:color w:val="000000"/>
        </w:rPr>
      </w:pPr>
      <w:r>
        <w:rPr>
          <w:color w:val="000000"/>
        </w:rPr>
        <w:t>1.4. razvoj događanja u destinaciji i drugih motiva dolaska u destinaciju za individualne i grupne goste</w:t>
      </w:r>
    </w:p>
    <w:p w14:paraId="40CAC4D7">
      <w:pPr>
        <w:jc w:val="both"/>
        <w:rPr>
          <w:color w:val="000000"/>
        </w:rPr>
      </w:pPr>
      <w:r>
        <w:rPr>
          <w:color w:val="000000"/>
        </w:rPr>
        <w:t>1.5. razvoj ostalih elemenata turističke ponude s fokusom na cjelogodišnju ponudu destinacije</w:t>
      </w:r>
    </w:p>
    <w:p w14:paraId="15CF2E29">
      <w:pPr>
        <w:jc w:val="both"/>
        <w:rPr>
          <w:color w:val="000000"/>
        </w:rPr>
      </w:pPr>
      <w:r>
        <w:rPr>
          <w:color w:val="000000"/>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1BF72B7A">
      <w:pPr>
        <w:jc w:val="both"/>
        <w:rPr>
          <w:color w:val="000000"/>
        </w:rPr>
      </w:pPr>
      <w:r>
        <w:rPr>
          <w:color w:val="000000"/>
        </w:rPr>
        <w:t>1.7. upravljanje kvalitetom ponude u destinaciji</w:t>
      </w:r>
    </w:p>
    <w:p w14:paraId="2EB5F122">
      <w:pPr>
        <w:jc w:val="both"/>
        <w:rPr>
          <w:color w:val="000000"/>
        </w:rPr>
      </w:pPr>
      <w:r>
        <w:rPr>
          <w:color w:val="000000"/>
        </w:rPr>
        <w:t>1.8.strateško i operativno planiranje razvoja turizma ili proizvoda na destinacijskoj razini te po potrebi organizacija sustava upravljanja posjetiteljima</w:t>
      </w:r>
    </w:p>
    <w:p w14:paraId="4EAD2520">
      <w:pPr>
        <w:jc w:val="both"/>
        <w:rPr>
          <w:color w:val="000000"/>
        </w:rPr>
      </w:pPr>
      <w:r>
        <w:rPr>
          <w:color w:val="000000"/>
        </w:rPr>
        <w:t>1.9. sudjelovanje u izradi strateških i razvojnih planova turizma na području destinacije</w:t>
      </w:r>
    </w:p>
    <w:p w14:paraId="25F74830">
      <w:pPr>
        <w:jc w:val="both"/>
        <w:rPr>
          <w:color w:val="000000"/>
        </w:rPr>
      </w:pPr>
      <w:r>
        <w:rPr>
          <w:color w:val="000000"/>
        </w:rPr>
        <w:t>1.10. upravljanje javnom turističkom infrastrukturom</w:t>
      </w:r>
    </w:p>
    <w:p w14:paraId="5276F369">
      <w:pPr>
        <w:jc w:val="both"/>
        <w:rPr>
          <w:color w:val="000000"/>
        </w:rPr>
      </w:pPr>
      <w:r>
        <w:rPr>
          <w:color w:val="000000"/>
        </w:rPr>
        <w:t>1.11. sudjelovanje u provođenju strateških marketinških projekata koje je definirala Hrvatska turistička zajednica.</w:t>
      </w:r>
    </w:p>
    <w:p w14:paraId="5EBF6D38">
      <w:pPr>
        <w:jc w:val="both"/>
        <w:rPr>
          <w:color w:val="000000"/>
        </w:rPr>
      </w:pPr>
    </w:p>
    <w:p w14:paraId="7B74DFBB">
      <w:pPr>
        <w:jc w:val="both"/>
        <w:rPr>
          <w:color w:val="000000"/>
        </w:rPr>
      </w:pPr>
    </w:p>
    <w:p w14:paraId="093C548E">
      <w:pPr>
        <w:jc w:val="both"/>
        <w:rPr>
          <w:color w:val="000000"/>
        </w:rPr>
      </w:pPr>
    </w:p>
    <w:p w14:paraId="2C1C3A8A">
      <w:pPr>
        <w:jc w:val="both"/>
        <w:rPr>
          <w:color w:val="000000"/>
        </w:rPr>
      </w:pPr>
      <w:r>
        <w:rPr>
          <w:color w:val="000000"/>
        </w:rPr>
        <w:t>2. Informacije i istraživanja</w:t>
      </w:r>
    </w:p>
    <w:p w14:paraId="3B383079">
      <w:pPr>
        <w:jc w:val="both"/>
        <w:rPr>
          <w:color w:val="000000"/>
        </w:rPr>
      </w:pPr>
    </w:p>
    <w:p w14:paraId="5A1DDA28">
      <w:pPr>
        <w:jc w:val="both"/>
        <w:rPr>
          <w:color w:val="000000"/>
        </w:rPr>
      </w:pPr>
      <w:r>
        <w:rPr>
          <w:color w:val="000000"/>
        </w:rPr>
        <w:t>2.1. izrada i distribucija informativnih materijala</w:t>
      </w:r>
    </w:p>
    <w:p w14:paraId="04447E82">
      <w:pPr>
        <w:jc w:val="both"/>
        <w:rPr>
          <w:color w:val="000000"/>
        </w:rPr>
      </w:pPr>
      <w:r>
        <w:rPr>
          <w:color w:val="000000"/>
        </w:rPr>
        <w:t>2.2. stvaranje, održavanje i redovito kreiranje sadržaja na mrežnim stranicama destinacije i profilima društvenih mreža</w:t>
      </w:r>
    </w:p>
    <w:p w14:paraId="42B25C7D">
      <w:pPr>
        <w:jc w:val="both"/>
        <w:rPr>
          <w:color w:val="000000"/>
        </w:rPr>
      </w:pPr>
      <w:r>
        <w:rPr>
          <w:color w:val="000000"/>
        </w:rPr>
        <w:t>2.3. osnivanje, koordinacija i upravljanje turističkim informativnim centrima (ako postoje/ima potrebe za njima)</w:t>
      </w:r>
    </w:p>
    <w:p w14:paraId="1D03154D">
      <w:pPr>
        <w:jc w:val="both"/>
        <w:rPr>
          <w:color w:val="000000"/>
        </w:rPr>
      </w:pPr>
      <w:r>
        <w:rPr>
          <w:color w:val="000000"/>
        </w:rPr>
        <w:t>2.4. suradnja sa subjektima javnog i privatnog sektora u destinaciji radi podizanja kvalitete turističkog iskustva, funkcioniranja, dostupnosti i kvalitete javnih usluga, servisa i komunalnih službi na području turističke destinacije</w:t>
      </w:r>
    </w:p>
    <w:p w14:paraId="478EB923">
      <w:pPr>
        <w:jc w:val="both"/>
        <w:rPr>
          <w:color w:val="000000"/>
        </w:rPr>
      </w:pPr>
      <w:r>
        <w:rPr>
          <w:color w:val="000000"/>
        </w:rPr>
        <w:t>2.5. planiranje, izrada, postavljanje i održavanje sustava turističke signalizacije, samostalno i/ili u suradnji s jedinicom lokalne samouprave</w:t>
      </w:r>
    </w:p>
    <w:p w14:paraId="11243666">
      <w:pPr>
        <w:jc w:val="both"/>
        <w:rPr>
          <w:color w:val="000000"/>
        </w:rPr>
      </w:pPr>
      <w:r>
        <w:rPr>
          <w:color w:val="000000"/>
        </w:rPr>
        <w:t>2.6. 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w:t>
      </w:r>
    </w:p>
    <w:p w14:paraId="495DE968">
      <w:pPr>
        <w:jc w:val="both"/>
        <w:rPr>
          <w:color w:val="000000"/>
        </w:rPr>
      </w:pPr>
    </w:p>
    <w:p w14:paraId="36448D6F">
      <w:pPr>
        <w:jc w:val="both"/>
        <w:rPr>
          <w:color w:val="000000"/>
        </w:rPr>
      </w:pPr>
      <w:r>
        <w:rPr>
          <w:color w:val="000000"/>
        </w:rPr>
        <w:t>3. Distribucija</w:t>
      </w:r>
    </w:p>
    <w:p w14:paraId="6DCC8A77">
      <w:pPr>
        <w:jc w:val="both"/>
        <w:rPr>
          <w:color w:val="000000"/>
        </w:rPr>
      </w:pPr>
    </w:p>
    <w:p w14:paraId="4B442725">
      <w:pPr>
        <w:jc w:val="both"/>
        <w:rPr>
          <w:color w:val="000000"/>
        </w:rPr>
      </w:pPr>
      <w:r>
        <w:rPr>
          <w:color w:val="000000"/>
        </w:rPr>
        <w:t>3.1. koordiniranje s regionalnom turističkom zajednicom u provedbi operativnih marketinških aktivnosti</w:t>
      </w:r>
    </w:p>
    <w:p w14:paraId="68F29610">
      <w:pPr>
        <w:jc w:val="both"/>
        <w:rPr>
          <w:color w:val="000000"/>
        </w:rPr>
      </w:pPr>
      <w:r>
        <w:rPr>
          <w:color w:val="000000"/>
        </w:rPr>
        <w:t>3.2. priprema, sortiranje i slanje podataka o turističkoj ponudi na području destinacije u regionalnu turističku zajednicu i Hrvatsku turističku zajednicu</w:t>
      </w:r>
    </w:p>
    <w:p w14:paraId="228104AC">
      <w:pPr>
        <w:jc w:val="both"/>
        <w:rPr>
          <w:color w:val="000000"/>
        </w:rPr>
      </w:pPr>
      <w:r>
        <w:rPr>
          <w:color w:val="000000"/>
        </w:rPr>
        <w:t>3.3. priprema destinacijskih marketinških materijala sukladno definiranim standardima i upućivanje na usklađivanje i odobrenje u regionalnu turističku zajednicu</w:t>
      </w:r>
    </w:p>
    <w:p w14:paraId="48F40C84">
      <w:pPr>
        <w:jc w:val="both"/>
        <w:rPr>
          <w:color w:val="000000"/>
        </w:rPr>
      </w:pPr>
      <w:r>
        <w:rPr>
          <w:color w:val="000000"/>
        </w:rPr>
        <w:t>3.4. pružanje podrške u organizaciji studijskih putovanja novinara i predstavnika organizatora putovanja u suradnji s regionalnom turističkom zajednicom te u suradnji s Hrvatskom turističkom zajednicom</w:t>
      </w:r>
    </w:p>
    <w:p w14:paraId="457B2CD3">
      <w:pPr>
        <w:jc w:val="both"/>
        <w:rPr>
          <w:color w:val="000000"/>
        </w:rPr>
      </w:pPr>
      <w:r>
        <w:rPr>
          <w:color w:val="000000"/>
        </w:rPr>
        <w:t>3.5. obavljanje i drugih poslova propisanih Zakonom ili ovim Statutom.</w:t>
      </w:r>
    </w:p>
    <w:p w14:paraId="19B7EEB9">
      <w:pPr>
        <w:pStyle w:val="14"/>
        <w:shd w:val="clear" w:color="auto" w:fill="FFFFFF"/>
        <w:spacing w:before="0" w:beforeAutospacing="0" w:after="0" w:afterAutospacing="0"/>
        <w:textAlignment w:val="baseline"/>
        <w:rPr>
          <w:color w:val="231F20"/>
        </w:rPr>
      </w:pPr>
    </w:p>
    <w:p w14:paraId="43189B43">
      <w:pPr>
        <w:pStyle w:val="14"/>
        <w:shd w:val="clear" w:color="auto" w:fill="FFFFFF"/>
        <w:spacing w:before="0" w:beforeAutospacing="0" w:after="0" w:afterAutospacing="0"/>
        <w:textAlignment w:val="baseline"/>
        <w:rPr>
          <w:color w:val="231F20"/>
        </w:rPr>
      </w:pPr>
    </w:p>
    <w:p w14:paraId="0D46B51E">
      <w:pPr>
        <w:pStyle w:val="14"/>
        <w:shd w:val="clear" w:color="auto" w:fill="FFFFFF"/>
        <w:spacing w:before="0" w:beforeAutospacing="0" w:after="0" w:afterAutospacing="0"/>
        <w:textAlignment w:val="baseline"/>
        <w:rPr>
          <w:color w:val="231F20"/>
        </w:rPr>
      </w:pPr>
    </w:p>
    <w:p w14:paraId="43F0B064">
      <w:pPr>
        <w:pStyle w:val="14"/>
        <w:shd w:val="clear" w:color="auto" w:fill="FFFFFF"/>
        <w:spacing w:before="0" w:beforeAutospacing="0" w:after="0" w:afterAutospacing="0"/>
        <w:textAlignment w:val="baseline"/>
        <w:rPr>
          <w:color w:val="231F20"/>
        </w:rPr>
      </w:pPr>
    </w:p>
    <w:p w14:paraId="7A38CF1D">
      <w:pPr>
        <w:pStyle w:val="14"/>
        <w:shd w:val="clear" w:color="auto" w:fill="FFFFFF"/>
        <w:spacing w:before="0" w:beforeAutospacing="0" w:after="0" w:afterAutospacing="0"/>
        <w:textAlignment w:val="baseline"/>
        <w:rPr>
          <w:color w:val="231F20"/>
        </w:rPr>
      </w:pPr>
    </w:p>
    <w:p w14:paraId="33171710">
      <w:pPr>
        <w:pStyle w:val="14"/>
        <w:shd w:val="clear" w:color="auto" w:fill="FFFFFF"/>
        <w:spacing w:before="0" w:beforeAutospacing="0" w:after="0" w:afterAutospacing="0"/>
        <w:textAlignment w:val="baseline"/>
        <w:rPr>
          <w:color w:val="231F20"/>
        </w:rPr>
      </w:pPr>
    </w:p>
    <w:p w14:paraId="2019AAA1">
      <w:pPr>
        <w:pStyle w:val="14"/>
        <w:shd w:val="clear" w:color="auto" w:fill="FFFFFF"/>
        <w:spacing w:before="0" w:beforeAutospacing="0" w:after="0" w:afterAutospacing="0"/>
        <w:textAlignment w:val="baseline"/>
        <w:rPr>
          <w:color w:val="231F20"/>
        </w:rPr>
      </w:pPr>
    </w:p>
    <w:p w14:paraId="3E4A4425">
      <w:pPr>
        <w:pStyle w:val="14"/>
        <w:shd w:val="clear" w:color="auto" w:fill="FFFFFF"/>
        <w:spacing w:before="0" w:beforeAutospacing="0" w:after="0" w:afterAutospacing="0"/>
        <w:textAlignment w:val="baseline"/>
        <w:rPr>
          <w:color w:val="231F20"/>
        </w:rPr>
      </w:pPr>
    </w:p>
    <w:p w14:paraId="77FDA86E">
      <w:pPr>
        <w:pStyle w:val="14"/>
        <w:shd w:val="clear" w:color="auto" w:fill="FFFFFF"/>
        <w:spacing w:before="0" w:beforeAutospacing="0" w:after="0" w:afterAutospacing="0"/>
        <w:textAlignment w:val="baseline"/>
        <w:rPr>
          <w:color w:val="231F20"/>
        </w:rPr>
      </w:pPr>
    </w:p>
    <w:p w14:paraId="2B8E781C">
      <w:pPr>
        <w:pStyle w:val="14"/>
        <w:numPr>
          <w:ilvl w:val="0"/>
          <w:numId w:val="1"/>
        </w:numPr>
        <w:shd w:val="clear" w:color="auto" w:fill="FFFFFF"/>
        <w:spacing w:before="0" w:beforeAutospacing="0" w:after="0" w:afterAutospacing="0"/>
        <w:textAlignment w:val="baseline"/>
        <w:rPr>
          <w:b/>
          <w:color w:val="231F20"/>
        </w:rPr>
      </w:pPr>
      <w:r>
        <w:rPr>
          <w:b/>
          <w:color w:val="231F20"/>
        </w:rPr>
        <w:t>OSNOVNE SMJERNICE PLANIRANJA</w:t>
      </w:r>
    </w:p>
    <w:p w14:paraId="5F1D2652">
      <w:pPr>
        <w:pStyle w:val="14"/>
        <w:shd w:val="clear" w:color="auto" w:fill="FFFFFF"/>
        <w:spacing w:before="0" w:beforeAutospacing="0" w:after="0" w:afterAutospacing="0"/>
        <w:textAlignment w:val="baseline"/>
        <w:rPr>
          <w:b/>
          <w:color w:val="231F20"/>
        </w:rPr>
      </w:pPr>
    </w:p>
    <w:p w14:paraId="38182A20">
      <w:pPr>
        <w:pStyle w:val="14"/>
        <w:shd w:val="clear" w:color="auto" w:fill="FFFFFF"/>
        <w:spacing w:before="0" w:beforeAutospacing="0" w:after="0" w:afterAutospacing="0"/>
        <w:textAlignment w:val="baseline"/>
        <w:rPr>
          <w:b/>
          <w:color w:val="231F20"/>
        </w:rPr>
      </w:pPr>
      <w:r>
        <w:rPr>
          <w:b/>
          <w:color w:val="231F20"/>
        </w:rPr>
        <w:t xml:space="preserve">PRIHODI </w:t>
      </w:r>
    </w:p>
    <w:p w14:paraId="1C93DC51">
      <w:pPr>
        <w:pStyle w:val="14"/>
        <w:shd w:val="clear" w:color="auto" w:fill="FFFFFF"/>
        <w:spacing w:before="0" w:beforeAutospacing="0" w:after="0" w:afterAutospacing="0"/>
        <w:textAlignment w:val="baseline"/>
        <w:rPr>
          <w:b/>
          <w:color w:val="231F20"/>
        </w:rPr>
      </w:pPr>
    </w:p>
    <w:p w14:paraId="7FBF4E14">
      <w:pPr>
        <w:pStyle w:val="14"/>
        <w:numPr>
          <w:ilvl w:val="0"/>
          <w:numId w:val="2"/>
        </w:numPr>
        <w:shd w:val="clear" w:color="auto" w:fill="FFFFFF"/>
        <w:spacing w:before="0" w:beforeAutospacing="0" w:after="0" w:afterAutospacing="0"/>
        <w:textAlignment w:val="baseline"/>
        <w:rPr>
          <w:b/>
          <w:color w:val="231F20"/>
        </w:rPr>
      </w:pPr>
      <w:r>
        <w:rPr>
          <w:b/>
          <w:color w:val="231F20"/>
        </w:rPr>
        <w:t>Izvorni prihodi i parametri za planiranje prihoda prema izvorima:</w:t>
      </w:r>
    </w:p>
    <w:p w14:paraId="518E229F">
      <w:pPr>
        <w:pStyle w:val="14"/>
        <w:shd w:val="clear" w:color="auto" w:fill="FFFFFF"/>
        <w:spacing w:before="0" w:beforeAutospacing="0" w:after="0" w:afterAutospacing="0"/>
        <w:textAlignment w:val="baseline"/>
        <w:rPr>
          <w:color w:val="231F20"/>
        </w:rPr>
      </w:pPr>
    </w:p>
    <w:p w14:paraId="6691BF62">
      <w:pPr>
        <w:pStyle w:val="14"/>
        <w:numPr>
          <w:ilvl w:val="0"/>
          <w:numId w:val="3"/>
        </w:numPr>
        <w:shd w:val="clear" w:color="auto" w:fill="FFFFFF"/>
        <w:spacing w:before="0" w:beforeAutospacing="0" w:after="0" w:afterAutospacing="0"/>
        <w:textAlignment w:val="baseline"/>
        <w:rPr>
          <w:color w:val="231F20"/>
        </w:rPr>
      </w:pPr>
      <w:r>
        <w:rPr>
          <w:color w:val="231F20"/>
        </w:rPr>
        <w:t>Turistička pristojba</w:t>
      </w:r>
    </w:p>
    <w:p w14:paraId="3C257625">
      <w:pPr>
        <w:pStyle w:val="14"/>
        <w:numPr>
          <w:ilvl w:val="0"/>
          <w:numId w:val="3"/>
        </w:numPr>
        <w:shd w:val="clear" w:color="auto" w:fill="FFFFFF"/>
        <w:spacing w:before="0" w:beforeAutospacing="0" w:after="0" w:afterAutospacing="0"/>
        <w:textAlignment w:val="baseline"/>
        <w:rPr>
          <w:color w:val="231F20"/>
        </w:rPr>
      </w:pPr>
      <w:r>
        <w:rPr>
          <w:color w:val="231F20"/>
        </w:rPr>
        <w:t>Članarina</w:t>
      </w:r>
    </w:p>
    <w:p w14:paraId="3ACCA075">
      <w:pPr>
        <w:pStyle w:val="14"/>
        <w:shd w:val="clear" w:color="auto" w:fill="FFFFFF"/>
        <w:spacing w:before="0" w:beforeAutospacing="0" w:after="0" w:afterAutospacing="0"/>
        <w:ind w:left="720"/>
        <w:textAlignment w:val="baseline"/>
        <w:rPr>
          <w:b/>
          <w:color w:val="231F20"/>
        </w:rPr>
      </w:pPr>
    </w:p>
    <w:p w14:paraId="7A44B82B">
      <w:r>
        <w:rPr>
          <w:u w:val="single"/>
        </w:rPr>
        <w:t>Turistička pristojba</w:t>
      </w:r>
      <w:r>
        <w:t xml:space="preserve"> plaća se temeljem članka 59. Zakona o turističkim zajednicama i promicanju hrvatskog turizma, a u skladu s Zakonom o turističkoj pristojbi. Ukupno se planiralo u 202</w:t>
      </w:r>
      <w:r>
        <w:rPr>
          <w:rFonts w:hint="default"/>
          <w:lang w:val="hr-HR"/>
        </w:rPr>
        <w:t>5</w:t>
      </w:r>
      <w:r>
        <w:t>.g. ostvariti 7</w:t>
      </w:r>
      <w:r>
        <w:rPr>
          <w:rFonts w:hint="default"/>
          <w:lang w:val="hr-HR"/>
        </w:rPr>
        <w:t>7</w:t>
      </w:r>
      <w:r>
        <w:t xml:space="preserve">.000,00 eura neto, </w:t>
      </w:r>
      <w:r>
        <w:rPr>
          <w:rFonts w:hint="default"/>
          <w:lang w:val="hr-HR"/>
        </w:rPr>
        <w:t xml:space="preserve">i toliko je i </w:t>
      </w:r>
      <w:r>
        <w:t>ostvaren</w:t>
      </w:r>
      <w:r>
        <w:rPr>
          <w:rFonts w:hint="default"/>
          <w:lang w:val="hr-HR"/>
        </w:rPr>
        <w:t>o</w:t>
      </w:r>
      <w:r>
        <w:t xml:space="preserve">. </w:t>
      </w:r>
    </w:p>
    <w:p w14:paraId="4CF8C1BA"/>
    <w:p w14:paraId="7E6B79B6">
      <w:pPr>
        <w:rPr>
          <w:color w:val="FF0000"/>
        </w:rPr>
      </w:pPr>
      <w:r>
        <w:rPr>
          <w:u w:val="single"/>
        </w:rPr>
        <w:t xml:space="preserve">Turistička pristojba-nautika </w:t>
      </w:r>
      <w:r>
        <w:t>plaća se temeljem Zakona o turističkoj pristojbi. Ukupno je planirano u 202</w:t>
      </w:r>
      <w:r>
        <w:rPr>
          <w:rFonts w:hint="default"/>
          <w:lang w:val="hr-HR"/>
        </w:rPr>
        <w:t>5</w:t>
      </w:r>
      <w:r>
        <w:t xml:space="preserve">. godini </w:t>
      </w:r>
      <w:r>
        <w:rPr>
          <w:rFonts w:hint="default"/>
          <w:lang w:val="hr-HR"/>
        </w:rPr>
        <w:t>90</w:t>
      </w:r>
      <w:r>
        <w:rPr>
          <w:rFonts w:hint="default"/>
          <w:i/>
          <w:lang w:val="hr-HR"/>
        </w:rPr>
        <w:t>.000,00</w:t>
      </w:r>
      <w:r>
        <w:rPr>
          <w:i/>
        </w:rPr>
        <w:t xml:space="preserve"> </w:t>
      </w:r>
      <w:r>
        <w:t xml:space="preserve">neto, a ostvareno je </w:t>
      </w:r>
      <w:r>
        <w:rPr>
          <w:rFonts w:hint="default"/>
          <w:lang w:val="hr-HR"/>
        </w:rPr>
        <w:t>77.000,00</w:t>
      </w:r>
      <w:r>
        <w:t xml:space="preserve"> eura. Što j</w:t>
      </w:r>
      <w:r>
        <w:rPr>
          <w:rFonts w:hint="default"/>
          <w:lang w:val="hr-HR"/>
        </w:rPr>
        <w:t>oš uvijek drži</w:t>
      </w:r>
      <w:r>
        <w:t xml:space="preserve"> nautiku na prvo</w:t>
      </w:r>
      <w:r>
        <w:rPr>
          <w:rFonts w:hint="default"/>
          <w:lang w:val="hr-HR"/>
        </w:rPr>
        <w:t>m</w:t>
      </w:r>
      <w:r>
        <w:t xml:space="preserve"> mjesto po</w:t>
      </w:r>
      <w:r>
        <w:rPr>
          <w:rFonts w:hint="default"/>
          <w:lang w:val="hr-HR"/>
        </w:rPr>
        <w:t xml:space="preserve"> izvornim</w:t>
      </w:r>
      <w:r>
        <w:t xml:space="preserve"> prihodima u TZO Sali. Uz ovaj podatak je bitno istaknuti da su se sredstva na Ministarstvu počela dijeliti sa zbirnog računa po pravednijem ključu. Odnosno, prema onome što smo uporno godinama ponavljali da se uz ostale parametre uzme u obzir gdje nautičari noće.</w:t>
      </w:r>
    </w:p>
    <w:p w14:paraId="19BA8586"/>
    <w:p w14:paraId="03BCC82D">
      <w:r>
        <w:t>Raspodjela bruto sredstava od boravišne pristojbe: 1% sredstva za HCK, 3,5% sredstava za razvojne projekte i programe kreiranja novih turističkih programa na turistički nedovoljno razvijenim područjima ( Fond za turistički nedovoljno razvijena područja i kontinent) i 2% sredstava za projekte i programe udruženih turističkih zajednica (Fond za udružene turističke zajednice), a preostala sredstva raspoređuju se:</w:t>
      </w:r>
    </w:p>
    <w:p w14:paraId="12E9C90B">
      <w:r>
        <w:t>65% sredstava turističkoj zajednici općine Sali (od čega 30% sredstava automatski se raspoređuje na račun općine Sali), 15% sredstava Turističkoj zajednici Zadarske županije i 20% sredstava Hrvatskoj turističkoj zajednici.</w:t>
      </w:r>
    </w:p>
    <w:p w14:paraId="2EEB472D"/>
    <w:p w14:paraId="70ED51A9">
      <w:pPr>
        <w:rPr>
          <w:rFonts w:hint="default"/>
          <w:lang w:val="hr-HR"/>
        </w:rPr>
      </w:pPr>
      <w:r>
        <w:rPr>
          <w:u w:val="single"/>
        </w:rPr>
        <w:t>Turistička članarina</w:t>
      </w:r>
      <w:r>
        <w:t xml:space="preserve"> plaća se temeljem članka 59. Zakona o turističkim zajednicama i promicanju hrvatskog turizma, a u skladu s Zakonom o članarinama u turističkim zajednicama. Ukupno je planirano u 202</w:t>
      </w:r>
      <w:r>
        <w:rPr>
          <w:rFonts w:hint="default"/>
          <w:lang w:val="hr-HR"/>
        </w:rPr>
        <w:t>5</w:t>
      </w:r>
      <w:r>
        <w:t xml:space="preserve">. godini ostvariti </w:t>
      </w:r>
      <w:r>
        <w:rPr>
          <w:rFonts w:hint="default"/>
          <w:lang w:val="hr-HR"/>
        </w:rPr>
        <w:t>13.0</w:t>
      </w:r>
      <w:r>
        <w:t xml:space="preserve">00,00, </w:t>
      </w:r>
      <w:r>
        <w:rPr>
          <w:rFonts w:hint="default"/>
          <w:lang w:val="hr-HR"/>
        </w:rPr>
        <w:t xml:space="preserve">a </w:t>
      </w:r>
      <w:r>
        <w:t>stvareno</w:t>
      </w:r>
      <w:r>
        <w:rPr>
          <w:rFonts w:hint="default"/>
          <w:lang w:val="hr-HR"/>
        </w:rPr>
        <w:t xml:space="preserve"> je 13.000,00.</w:t>
      </w:r>
    </w:p>
    <w:p w14:paraId="62297FE1"/>
    <w:p w14:paraId="0AF70B4E">
      <w:r>
        <w:t>Raspodjela bruto sredstava od turističke članarine:</w:t>
      </w:r>
    </w:p>
    <w:p w14:paraId="74BAFDE6">
      <w:r>
        <w:t>od ukupno uplaćenih sredstava članarine izdvaja se 9% na poseban račun Hrvatske turističke zajednice (Fond za turistički nedovoljno razvijena područja i kontinent) i 2 % na poseban račun Hrvatske turističke zajednice za projekte i programe udruženih turističkih zajednica, a preostala sredstva raspoređuju se: 65% sredstava turističkoj zajednici Općine Sali, 15% sredstava Turističkoj zajednici Zadarske županije i 20% sredstava Hrvatskoj turističkoj zajednici.</w:t>
      </w:r>
    </w:p>
    <w:p w14:paraId="1B7DFA34"/>
    <w:p w14:paraId="5EF3583B"/>
    <w:p w14:paraId="472D8B44"/>
    <w:p w14:paraId="318CEFE2"/>
    <w:p w14:paraId="36C9DD3C"/>
    <w:p w14:paraId="0D4B3FD7"/>
    <w:p w14:paraId="57448646"/>
    <w:p w14:paraId="00022B4B"/>
    <w:p w14:paraId="512544BB"/>
    <w:p w14:paraId="559240D7">
      <w:pPr>
        <w:pStyle w:val="13"/>
        <w:numPr>
          <w:ilvl w:val="0"/>
          <w:numId w:val="2"/>
        </w:numPr>
        <w:rPr>
          <w:b/>
        </w:rPr>
      </w:pPr>
      <w:r>
        <w:rPr>
          <w:b/>
        </w:rPr>
        <w:t xml:space="preserve">Prihodi iz proračuna općine/grada/županije i državnog proračuna: </w:t>
      </w:r>
    </w:p>
    <w:p w14:paraId="528809CB">
      <w:pPr>
        <w:rPr>
          <w:b/>
        </w:rPr>
      </w:pPr>
    </w:p>
    <w:p w14:paraId="0D6B2A19">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prihodi iz jedinice lokalne, regionalne, područne samouprave i iz državnog proračuna - </w:t>
      </w:r>
      <w:r>
        <w:rPr>
          <w:rFonts w:eastAsiaTheme="minorHAnsi"/>
          <w:color w:val="000000" w:themeColor="text1"/>
          <w:lang w:eastAsia="en-US"/>
          <w14:textFill>
            <w14:solidFill>
              <w14:schemeClr w14:val="tx1"/>
            </w14:solidFill>
          </w14:textFill>
        </w:rPr>
        <w:t>temeljeno na izglasanom proračunu, odluci i sl. i prihodi iz državnog proračun</w:t>
      </w:r>
    </w:p>
    <w:p w14:paraId="0F9676DD">
      <w:pPr>
        <w:autoSpaceDE w:val="0"/>
        <w:autoSpaceDN w:val="0"/>
        <w:adjustRightInd w:val="0"/>
        <w:rPr>
          <w:rFonts w:eastAsiaTheme="minorHAnsi"/>
          <w:b/>
          <w:bCs/>
          <w:color w:val="000000" w:themeColor="text1"/>
          <w:lang w:eastAsia="en-US"/>
          <w14:textFill>
            <w14:solidFill>
              <w14:schemeClr w14:val="tx1"/>
            </w14:solidFill>
          </w14:textFill>
        </w:rPr>
      </w:pPr>
    </w:p>
    <w:p w14:paraId="419395C8">
      <w:pPr>
        <w:rPr>
          <w:color w:val="000000" w:themeColor="text1"/>
          <w14:textFill>
            <w14:solidFill>
              <w14:schemeClr w14:val="tx1"/>
            </w14:solidFill>
          </w14:textFill>
        </w:rPr>
      </w:pPr>
      <w:r>
        <w:rPr>
          <w:color w:val="000000" w:themeColor="text1"/>
          <w14:textFill>
            <w14:solidFill>
              <w14:schemeClr w14:val="tx1"/>
            </w14:solidFill>
          </w14:textFill>
        </w:rPr>
        <w:t>Planirano 1</w:t>
      </w:r>
      <w:r>
        <w:rPr>
          <w:rFonts w:hint="default"/>
          <w:color w:val="000000" w:themeColor="text1"/>
          <w:lang w:val="hr-HR"/>
          <w14:textFill>
            <w14:solidFill>
              <w14:schemeClr w14:val="tx1"/>
            </w14:solidFill>
          </w14:textFill>
        </w:rPr>
        <w:t>0</w:t>
      </w:r>
      <w:r>
        <w:rPr>
          <w:color w:val="000000" w:themeColor="text1"/>
          <w14:textFill>
            <w14:solidFill>
              <w14:schemeClr w14:val="tx1"/>
            </w14:solidFill>
          </w14:textFill>
        </w:rPr>
        <w:t>.000,00 eura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Ostvareno: 1</w:t>
      </w:r>
      <w:r>
        <w:rPr>
          <w:rFonts w:hint="default"/>
          <w:color w:val="000000" w:themeColor="text1"/>
          <w:lang w:val="hr-HR"/>
          <w14:textFill>
            <w14:solidFill>
              <w14:schemeClr w14:val="tx1"/>
            </w14:solidFill>
          </w14:textFill>
        </w:rPr>
        <w:t>0</w:t>
      </w:r>
      <w:r>
        <w:rPr>
          <w:color w:val="000000" w:themeColor="text1"/>
          <w14:textFill>
            <w14:solidFill>
              <w14:schemeClr w14:val="tx1"/>
            </w14:solidFill>
          </w14:textFill>
        </w:rPr>
        <w:t>.000,00 eura</w:t>
      </w:r>
    </w:p>
    <w:p w14:paraId="2D960F89">
      <w:pPr>
        <w:rPr>
          <w:color w:val="000000" w:themeColor="text1"/>
          <w14:textFill>
            <w14:solidFill>
              <w14:schemeClr w14:val="tx1"/>
            </w14:solidFill>
          </w14:textFill>
        </w:rPr>
      </w:pPr>
    </w:p>
    <w:p w14:paraId="3DB5DCCA">
      <w:pPr>
        <w:pStyle w:val="13"/>
        <w:numPr>
          <w:ilvl w:val="0"/>
          <w:numId w:val="2"/>
        </w:numPr>
        <w:rPr>
          <w:b/>
          <w:color w:val="000000" w:themeColor="text1"/>
          <w14:textFill>
            <w14:solidFill>
              <w14:schemeClr w14:val="tx1"/>
            </w14:solidFill>
          </w14:textFill>
        </w:rPr>
      </w:pPr>
      <w:r>
        <w:rPr>
          <w:b/>
          <w:color w:val="000000" w:themeColor="text1"/>
          <w14:textFill>
            <w14:solidFill>
              <w14:schemeClr w14:val="tx1"/>
            </w14:solidFill>
          </w14:textFill>
        </w:rPr>
        <w:t>Prihodi od sustava turističkih zajednica</w:t>
      </w:r>
    </w:p>
    <w:p w14:paraId="56D398DC">
      <w:pPr>
        <w:rPr>
          <w:b/>
          <w:color w:val="000000" w:themeColor="text1"/>
          <w14:textFill>
            <w14:solidFill>
              <w14:schemeClr w14:val="tx1"/>
            </w14:solidFill>
          </w14:textFill>
        </w:rPr>
      </w:pPr>
    </w:p>
    <w:p w14:paraId="6E843A8E">
      <w:pPr>
        <w:rPr>
          <w:color w:val="000000" w:themeColor="text1"/>
          <w14:textFill>
            <w14:solidFill>
              <w14:schemeClr w14:val="tx1"/>
            </w14:solidFill>
          </w14:textFill>
        </w:rPr>
      </w:pPr>
      <w:r>
        <w:rPr>
          <w:color w:val="000000" w:themeColor="text1"/>
          <w14:textFill>
            <w14:solidFill>
              <w14:schemeClr w14:val="tx1"/>
            </w14:solidFill>
          </w14:textFill>
        </w:rPr>
        <w:t>Prihodi iz sustava sukladno Javnim pozivima i Sporazumima</w:t>
      </w:r>
    </w:p>
    <w:p w14:paraId="2F5B5A09">
      <w:pPr>
        <w:rPr>
          <w:color w:val="000000" w:themeColor="text1"/>
          <w14:textFill>
            <w14:solidFill>
              <w14:schemeClr w14:val="tx1"/>
            </w14:solidFill>
          </w14:textFill>
        </w:rPr>
      </w:pPr>
    </w:p>
    <w:p w14:paraId="31D8C53E">
      <w:pPr>
        <w:pStyle w:val="13"/>
        <w:numPr>
          <w:ilvl w:val="0"/>
          <w:numId w:val="3"/>
        </w:numPr>
        <w:rPr>
          <w:color w:val="000000" w:themeColor="text1"/>
          <w14:textFill>
            <w14:solidFill>
              <w14:schemeClr w14:val="tx1"/>
            </w14:solidFill>
          </w14:textFill>
        </w:rPr>
      </w:pPr>
      <w:r>
        <w:rPr>
          <w:color w:val="000000" w:themeColor="text1"/>
          <w14:textFill>
            <w14:solidFill>
              <w14:schemeClr w14:val="tx1"/>
            </w14:solidFill>
          </w14:textFill>
        </w:rPr>
        <w:t>Planirano: 8.000,00 eura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Ostvareno: 8.000,00 eura</w:t>
      </w:r>
    </w:p>
    <w:p w14:paraId="55730B0C">
      <w:pPr>
        <w:rPr>
          <w:i/>
          <w:color w:val="000000" w:themeColor="text1"/>
          <w14:textFill>
            <w14:solidFill>
              <w14:schemeClr w14:val="tx1"/>
            </w14:solidFill>
          </w14:textFill>
        </w:rPr>
      </w:pPr>
    </w:p>
    <w:p w14:paraId="162F925E">
      <w:pPr>
        <w:rPr>
          <w:b/>
          <w:color w:val="000000" w:themeColor="text1"/>
          <w14:textFill>
            <w14:solidFill>
              <w14:schemeClr w14:val="tx1"/>
            </w14:solidFill>
          </w14:textFill>
        </w:rPr>
      </w:pPr>
    </w:p>
    <w:p w14:paraId="66236D66">
      <w:pPr>
        <w:pStyle w:val="13"/>
        <w:numPr>
          <w:ilvl w:val="0"/>
          <w:numId w:val="2"/>
        </w:numPr>
        <w:rPr>
          <w:b/>
          <w:color w:val="000000" w:themeColor="text1"/>
          <w14:textFill>
            <w14:solidFill>
              <w14:schemeClr w14:val="tx1"/>
            </w14:solidFill>
          </w14:textFill>
        </w:rPr>
      </w:pPr>
      <w:r>
        <w:rPr>
          <w:b/>
          <w:color w:val="000000" w:themeColor="text1"/>
          <w14:textFill>
            <w14:solidFill>
              <w14:schemeClr w14:val="tx1"/>
            </w14:solidFill>
          </w14:textFill>
        </w:rPr>
        <w:t>Prihodi iz EU fondova</w:t>
      </w:r>
    </w:p>
    <w:p w14:paraId="336E04C5">
      <w:pPr>
        <w:rPr>
          <w:color w:val="000000" w:themeColor="text1"/>
          <w14:textFill>
            <w14:solidFill>
              <w14:schemeClr w14:val="tx1"/>
            </w14:solidFill>
          </w14:textFill>
        </w:rPr>
      </w:pPr>
    </w:p>
    <w:p w14:paraId="1C3274E5">
      <w:pPr>
        <w:rPr>
          <w:color w:val="000000" w:themeColor="text1"/>
          <w14:textFill>
            <w14:solidFill>
              <w14:schemeClr w14:val="tx1"/>
            </w14:solidFill>
          </w14:textFill>
        </w:rPr>
      </w:pPr>
      <w:r>
        <w:rPr>
          <w:color w:val="000000" w:themeColor="text1"/>
          <w14:textFill>
            <w14:solidFill>
              <w14:schemeClr w14:val="tx1"/>
            </w14:solidFill>
          </w14:textFill>
        </w:rPr>
        <w:t xml:space="preserve">Prihodi iz EU fondova planirani su zbog realizacije projekta u kojem sudjelujemo. Integrirani postament, Park ribarstva i masline, Tematski vidikovci... </w:t>
      </w:r>
    </w:p>
    <w:p w14:paraId="21BCB31A">
      <w:pPr>
        <w:rPr>
          <w:color w:val="000000" w:themeColor="text1"/>
          <w14:textFill>
            <w14:solidFill>
              <w14:schemeClr w14:val="tx1"/>
            </w14:solidFill>
          </w14:textFill>
        </w:rPr>
      </w:pPr>
    </w:p>
    <w:p w14:paraId="67F94040">
      <w:pPr>
        <w:pStyle w:val="13"/>
        <w:numPr>
          <w:ilvl w:val="0"/>
          <w:numId w:val="3"/>
        </w:numPr>
        <w:rPr>
          <w:color w:val="000000" w:themeColor="text1"/>
          <w14:textFill>
            <w14:solidFill>
              <w14:schemeClr w14:val="tx1"/>
            </w14:solidFill>
          </w14:textFill>
        </w:rPr>
      </w:pPr>
      <w:r>
        <w:rPr>
          <w:color w:val="000000" w:themeColor="text1"/>
          <w14:textFill>
            <w14:solidFill>
              <w14:schemeClr w14:val="tx1"/>
            </w14:solidFill>
          </w14:textFill>
        </w:rPr>
        <w:t xml:space="preserve">Planirano: </w:t>
      </w:r>
      <w:r>
        <w:rPr>
          <w:rFonts w:hint="default"/>
          <w:color w:val="000000" w:themeColor="text1"/>
          <w:lang w:val="hr-HR"/>
          <w14:textFill>
            <w14:solidFill>
              <w14:schemeClr w14:val="tx1"/>
            </w14:solidFill>
          </w14:textFill>
        </w:rPr>
        <w:t>20</w:t>
      </w:r>
      <w:r>
        <w:rPr>
          <w:color w:val="000000" w:themeColor="text1"/>
          <w14:textFill>
            <w14:solidFill>
              <w14:schemeClr w14:val="tx1"/>
            </w14:solidFill>
          </w14:textFill>
        </w:rPr>
        <w:t>.000,00 eura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Ostvareno: </w:t>
      </w:r>
      <w:r>
        <w:rPr>
          <w:rFonts w:hint="default"/>
          <w:color w:val="000000" w:themeColor="text1"/>
          <w:lang w:val="hr-HR"/>
          <w14:textFill>
            <w14:solidFill>
              <w14:schemeClr w14:val="tx1"/>
            </w14:solidFill>
          </w14:textFill>
        </w:rPr>
        <w:t>20</w:t>
      </w:r>
      <w:r>
        <w:rPr>
          <w:color w:val="000000" w:themeColor="text1"/>
          <w14:textFill>
            <w14:solidFill>
              <w14:schemeClr w14:val="tx1"/>
            </w14:solidFill>
          </w14:textFill>
        </w:rPr>
        <w:t>.000,00 eura</w:t>
      </w:r>
    </w:p>
    <w:p w14:paraId="79D92D5F">
      <w:pPr>
        <w:rPr>
          <w:color w:val="000000" w:themeColor="text1"/>
          <w14:textFill>
            <w14:solidFill>
              <w14:schemeClr w14:val="tx1"/>
            </w14:solidFill>
          </w14:textFill>
        </w:rPr>
      </w:pPr>
    </w:p>
    <w:p w14:paraId="4C640504">
      <w:pPr>
        <w:rPr>
          <w:i/>
          <w:color w:val="000000" w:themeColor="text1"/>
          <w14:textFill>
            <w14:solidFill>
              <w14:schemeClr w14:val="tx1"/>
            </w14:solidFill>
          </w14:textFill>
        </w:rPr>
      </w:pPr>
    </w:p>
    <w:p w14:paraId="4D692A1E">
      <w:pPr>
        <w:pStyle w:val="13"/>
        <w:numPr>
          <w:ilvl w:val="0"/>
          <w:numId w:val="2"/>
        </w:numPr>
        <w:rPr>
          <w:b/>
          <w:color w:val="000000" w:themeColor="text1"/>
          <w14:textFill>
            <w14:solidFill>
              <w14:schemeClr w14:val="tx1"/>
            </w14:solidFill>
          </w14:textFill>
        </w:rPr>
      </w:pPr>
      <w:r>
        <w:rPr>
          <w:b/>
          <w:color w:val="000000" w:themeColor="text1"/>
          <w14:textFill>
            <w14:solidFill>
              <w14:schemeClr w14:val="tx1"/>
            </w14:solidFill>
          </w14:textFill>
        </w:rPr>
        <w:t xml:space="preserve">Prihodi od gospodarske djelatnosti: </w:t>
      </w:r>
    </w:p>
    <w:p w14:paraId="3640DE7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Prihodi od zakupa javnih površina danih na kratkotrajno upravljanje od strane jedinice lokalne samouprave (zakup štandova za manifestacije), najma pozornice i šatora.</w:t>
      </w:r>
    </w:p>
    <w:p w14:paraId="1900B961">
      <w:pPr>
        <w:autoSpaceDE w:val="0"/>
        <w:autoSpaceDN w:val="0"/>
        <w:adjustRightInd w:val="0"/>
        <w:rPr>
          <w:rFonts w:eastAsiaTheme="minorHAnsi"/>
          <w:color w:val="000000" w:themeColor="text1"/>
          <w:lang w:eastAsia="en-US"/>
          <w14:textFill>
            <w14:solidFill>
              <w14:schemeClr w14:val="tx1"/>
            </w14:solidFill>
          </w14:textFill>
        </w:rPr>
      </w:pPr>
    </w:p>
    <w:p w14:paraId="375863CA">
      <w:pPr>
        <w:pStyle w:val="13"/>
        <w:numPr>
          <w:ilvl w:val="0"/>
          <w:numId w:val="3"/>
        </w:num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Panirano: 1.327,</w:t>
      </w:r>
      <w:r>
        <w:rPr>
          <w:rFonts w:hint="default" w:eastAsiaTheme="minorHAnsi"/>
          <w:color w:val="000000" w:themeColor="text1"/>
          <w:lang w:val="hr-HR" w:eastAsia="en-US"/>
          <w14:textFill>
            <w14:solidFill>
              <w14:schemeClr w14:val="tx1"/>
            </w14:solidFill>
          </w14:textFill>
        </w:rPr>
        <w:t>00</w:t>
      </w:r>
      <w:r>
        <w:rPr>
          <w:rFonts w:eastAsiaTheme="minorHAnsi"/>
          <w:color w:val="000000" w:themeColor="text1"/>
          <w:lang w:eastAsia="en-US"/>
          <w14:textFill>
            <w14:solidFill>
              <w14:schemeClr w14:val="tx1"/>
            </w14:solidFill>
          </w14:textFill>
        </w:rPr>
        <w:t xml:space="preserve">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Ostvareno: 1.327,</w:t>
      </w:r>
      <w:r>
        <w:rPr>
          <w:rFonts w:hint="default" w:eastAsiaTheme="minorHAnsi"/>
          <w:color w:val="000000" w:themeColor="text1"/>
          <w:lang w:val="hr-HR" w:eastAsia="en-US"/>
          <w14:textFill>
            <w14:solidFill>
              <w14:schemeClr w14:val="tx1"/>
            </w14:solidFill>
          </w14:textFill>
        </w:rPr>
        <w:t>00</w:t>
      </w:r>
      <w:r>
        <w:rPr>
          <w:rFonts w:eastAsiaTheme="minorHAnsi"/>
          <w:color w:val="000000" w:themeColor="text1"/>
          <w:lang w:eastAsia="en-US"/>
          <w14:textFill>
            <w14:solidFill>
              <w14:schemeClr w14:val="tx1"/>
            </w14:solidFill>
          </w14:textFill>
        </w:rPr>
        <w:t xml:space="preserve"> eura</w:t>
      </w:r>
    </w:p>
    <w:p w14:paraId="4DFCD597">
      <w:pPr>
        <w:rPr>
          <w:rFonts w:eastAsiaTheme="minorHAnsi"/>
          <w:b/>
          <w:bCs/>
          <w:color w:val="000000" w:themeColor="text1"/>
          <w:lang w:eastAsia="en-US"/>
          <w14:textFill>
            <w14:solidFill>
              <w14:schemeClr w14:val="tx1"/>
            </w14:solidFill>
          </w14:textFill>
        </w:rPr>
      </w:pPr>
    </w:p>
    <w:p w14:paraId="54A1E103">
      <w:pPr>
        <w:pStyle w:val="13"/>
        <w:numPr>
          <w:ilvl w:val="0"/>
          <w:numId w:val="2"/>
        </w:numPr>
      </w:pPr>
      <w:r>
        <w:rPr>
          <w:b/>
          <w:color w:val="000000" w:themeColor="text1"/>
          <w14:textFill>
            <w14:solidFill>
              <w14:schemeClr w14:val="tx1"/>
            </w14:solidFill>
          </w14:textFill>
        </w:rPr>
        <w:t>Preneseni prihodi iz prethodne godine:</w:t>
      </w:r>
      <w:r>
        <w:t xml:space="preserve"> </w:t>
      </w:r>
      <w:r>
        <w:rPr>
          <w:rFonts w:hint="default"/>
          <w:i/>
          <w:lang w:val="hr-HR"/>
        </w:rPr>
        <w:t>32.084,00</w:t>
      </w:r>
      <w:r>
        <w:rPr>
          <w:i/>
        </w:rPr>
        <w:t>,00 eura</w:t>
      </w:r>
    </w:p>
    <w:p w14:paraId="59F0D7FD"/>
    <w:p w14:paraId="58B86381">
      <w:pPr>
        <w:pStyle w:val="13"/>
        <w:numPr>
          <w:ilvl w:val="0"/>
          <w:numId w:val="2"/>
        </w:numPr>
        <w:rPr>
          <w:i/>
        </w:rPr>
      </w:pPr>
      <w:r>
        <w:rPr>
          <w:b/>
          <w:color w:val="000000" w:themeColor="text1"/>
          <w14:textFill>
            <w14:solidFill>
              <w14:schemeClr w14:val="tx1"/>
            </w14:solidFill>
          </w14:textFill>
        </w:rPr>
        <w:t xml:space="preserve">Ostali prihodi: </w:t>
      </w:r>
      <w:r>
        <w:rPr>
          <w:rFonts w:hint="default"/>
          <w:b/>
          <w:color w:val="000000" w:themeColor="text1"/>
          <w:lang w:val="hr-HR"/>
          <w14:textFill>
            <w14:solidFill>
              <w14:schemeClr w14:val="tx1"/>
            </w14:solidFill>
          </w14:textFill>
        </w:rPr>
        <w:t>(uplate po Sporazumu, kamate)</w:t>
      </w:r>
    </w:p>
    <w:p w14:paraId="6116D488">
      <w:pPr>
        <w:rPr>
          <w:color w:val="000000" w:themeColor="text1"/>
          <w14:textFill>
            <w14:solidFill>
              <w14:schemeClr w14:val="tx1"/>
            </w14:solidFill>
          </w14:textFill>
        </w:rPr>
      </w:pPr>
    </w:p>
    <w:p w14:paraId="2A139A8A">
      <w:pPr>
        <w:pStyle w:val="13"/>
        <w:numPr>
          <w:ilvl w:val="0"/>
          <w:numId w:val="3"/>
        </w:numPr>
      </w:pPr>
      <w:r>
        <w:rPr>
          <w:color w:val="000000" w:themeColor="text1"/>
          <w14:textFill>
            <w14:solidFill>
              <w14:schemeClr w14:val="tx1"/>
            </w14:solidFill>
          </w14:textFill>
        </w:rPr>
        <w:t xml:space="preserve">Planirano: </w:t>
      </w:r>
      <w:r>
        <w:rPr>
          <w:rFonts w:hint="default"/>
          <w:color w:val="000000" w:themeColor="text1"/>
          <w:lang w:val="hr-HR"/>
          <w14:textFill>
            <w14:solidFill>
              <w14:schemeClr w14:val="tx1"/>
            </w14:solidFill>
          </w14:textFill>
        </w:rPr>
        <w:t>40.000,00</w:t>
      </w:r>
      <w:r>
        <w:rPr>
          <w:color w:val="000000" w:themeColor="text1"/>
          <w14:textFill>
            <w14:solidFill>
              <w14:schemeClr w14:val="tx1"/>
            </w14:solidFill>
          </w14:textFill>
        </w:rPr>
        <w:t xml:space="preserve"> eura</w:t>
      </w:r>
      <w:r>
        <w:rPr>
          <w:color w:val="000000" w:themeColor="text1"/>
          <w14:textFill>
            <w14:solidFill>
              <w14:schemeClr w14:val="tx1"/>
            </w14:solidFill>
          </w14:textFill>
        </w:rPr>
        <w:tab/>
      </w:r>
      <w:r>
        <w:rPr>
          <w:color w:val="000000" w:themeColor="text1"/>
          <w14:textFill>
            <w14:solidFill>
              <w14:schemeClr w14:val="tx1"/>
            </w14:solidFill>
          </w14:textFill>
        </w:rPr>
        <w:t xml:space="preserve">Ostvareno: </w:t>
      </w:r>
      <w:r>
        <w:rPr>
          <w:rFonts w:hint="default"/>
          <w:color w:val="000000" w:themeColor="text1"/>
          <w:lang w:val="hr-HR"/>
          <w14:textFill>
            <w14:solidFill>
              <w14:schemeClr w14:val="tx1"/>
            </w14:solidFill>
          </w14:textFill>
        </w:rPr>
        <w:t>40.000,00</w:t>
      </w:r>
      <w:r>
        <w:rPr>
          <w:color w:val="000000" w:themeColor="text1"/>
          <w14:textFill>
            <w14:solidFill>
              <w14:schemeClr w14:val="tx1"/>
            </w14:solidFill>
          </w14:textFill>
        </w:rPr>
        <w:t xml:space="preserve"> eura</w:t>
      </w:r>
    </w:p>
    <w:p w14:paraId="298C5C2E"/>
    <w:p w14:paraId="2989404F"/>
    <w:p w14:paraId="1835EC99"/>
    <w:p w14:paraId="4048CE61">
      <w:pPr>
        <w:pStyle w:val="13"/>
        <w:numPr>
          <w:ilvl w:val="0"/>
          <w:numId w:val="1"/>
        </w:numPr>
        <w:rPr>
          <w:b/>
          <w:color w:val="000000" w:themeColor="text1"/>
          <w14:textFill>
            <w14:solidFill>
              <w14:schemeClr w14:val="tx1"/>
            </w14:solidFill>
          </w14:textFill>
        </w:rPr>
      </w:pPr>
      <w:r>
        <w:rPr>
          <w:b/>
          <w:color w:val="000000" w:themeColor="text1"/>
          <w14:textFill>
            <w14:solidFill>
              <w14:schemeClr w14:val="tx1"/>
            </w14:solidFill>
          </w14:textFill>
        </w:rPr>
        <w:t xml:space="preserve">MODEL I STRUKTURA GODIŠNJEG PROGRAMA RADA </w:t>
      </w:r>
    </w:p>
    <w:p w14:paraId="1638A9F4">
      <w:pPr>
        <w:rPr>
          <w:b/>
          <w:color w:val="000000" w:themeColor="text1"/>
          <w14:textFill>
            <w14:solidFill>
              <w14:schemeClr w14:val="tx1"/>
            </w14:solidFill>
          </w14:textFill>
        </w:rPr>
      </w:pPr>
    </w:p>
    <w:p w14:paraId="4BE29472">
      <w:pPr>
        <w:rPr>
          <w:b/>
        </w:rPr>
      </w:pPr>
      <w:r>
        <w:rPr>
          <w:b/>
        </w:rPr>
        <w:t>Detaljni i precizni dugoročni i kratkoročni strateški ciljevi turističke zajednice općine Sali:</w:t>
      </w:r>
    </w:p>
    <w:p w14:paraId="398363CD">
      <w:pPr>
        <w:numPr>
          <w:ilvl w:val="0"/>
          <w:numId w:val="4"/>
        </w:numPr>
      </w:pPr>
      <w:r>
        <w:t>povećanje turističkog prometa u razdoblju predsezone i posezone</w:t>
      </w:r>
    </w:p>
    <w:p w14:paraId="1EA32272">
      <w:pPr>
        <w:numPr>
          <w:ilvl w:val="0"/>
          <w:numId w:val="4"/>
        </w:numPr>
      </w:pPr>
      <w:r>
        <w:t xml:space="preserve">povećanje turističkih dolazaka i noćenja za </w:t>
      </w:r>
      <w:r>
        <w:rPr>
          <w:rFonts w:hint="default"/>
          <w:lang w:val="hr-HR"/>
        </w:rPr>
        <w:t>2</w:t>
      </w:r>
      <w:r>
        <w:t>%</w:t>
      </w:r>
    </w:p>
    <w:p w14:paraId="3D748EFF">
      <w:pPr>
        <w:numPr>
          <w:ilvl w:val="0"/>
          <w:numId w:val="4"/>
        </w:numPr>
      </w:pPr>
      <w:r>
        <w:t>promotivne aktivnosti (suradnja sa subjektima privatnog sektora turističkim zajednicama na području arhipelaga kod udruženog oglašavanja, izrada informativnog promidžbenog materijala, aktualizacija Internet stranice,)</w:t>
      </w:r>
    </w:p>
    <w:p w14:paraId="7463766D">
      <w:pPr>
        <w:numPr>
          <w:ilvl w:val="0"/>
          <w:numId w:val="4"/>
        </w:numPr>
      </w:pPr>
      <w:r>
        <w:t>podizanje razine uređenosti mjesta u suradnji sa lokalnom samoupravom te standard i uvjeti boravka turista u mjestu</w:t>
      </w:r>
    </w:p>
    <w:p w14:paraId="27C4A130">
      <w:pPr>
        <w:numPr>
          <w:ilvl w:val="0"/>
          <w:numId w:val="4"/>
        </w:numPr>
      </w:pPr>
      <w:r>
        <w:t>nastavak poboljšanja i stabiliziranje položaja Dugog otoka na međunarodnom i domaćem tržištu</w:t>
      </w:r>
    </w:p>
    <w:p w14:paraId="7C6ED471">
      <w:pPr>
        <w:numPr>
          <w:ilvl w:val="0"/>
          <w:numId w:val="4"/>
        </w:numPr>
      </w:pPr>
      <w:r>
        <w:t>nastavak uspješnih projekata u cilju promicanja izvornih vrijednosti i organizacija priredbi i manifestacija</w:t>
      </w:r>
    </w:p>
    <w:p w14:paraId="0F079F0D">
      <w:pPr>
        <w:numPr>
          <w:ilvl w:val="0"/>
          <w:numId w:val="4"/>
        </w:numPr>
      </w:pPr>
      <w:r>
        <w:t>razvoj ključnih projekata rai podizanja konkurentnosti destinacije</w:t>
      </w:r>
    </w:p>
    <w:p w14:paraId="019833B1">
      <w:pPr>
        <w:numPr>
          <w:ilvl w:val="0"/>
          <w:numId w:val="4"/>
        </w:numPr>
      </w:pPr>
      <w:r>
        <w:t>veća briga i aktivnosti u svezi organiziranja i plasmana privatnog smještaja</w:t>
      </w:r>
    </w:p>
    <w:p w14:paraId="39383388">
      <w:pPr>
        <w:numPr>
          <w:ilvl w:val="0"/>
          <w:numId w:val="4"/>
        </w:numPr>
      </w:pPr>
      <w:r>
        <w:t>briga za zaštitu i očuvanje kulturno-povijesnih spomenika, te njihovo uključivanje u turističku ponudu mjesta</w:t>
      </w:r>
    </w:p>
    <w:p w14:paraId="536F94B4">
      <w:pPr>
        <w:numPr>
          <w:ilvl w:val="0"/>
          <w:numId w:val="4"/>
        </w:numPr>
      </w:pPr>
      <w:r>
        <w:t>briga za očuvanje okoliša</w:t>
      </w:r>
    </w:p>
    <w:p w14:paraId="2C9CB552"/>
    <w:p w14:paraId="280C3F4F">
      <w:pPr>
        <w:rPr>
          <w:b/>
          <w:color w:val="000000" w:themeColor="text1"/>
          <w14:textFill>
            <w14:solidFill>
              <w14:schemeClr w14:val="tx1"/>
            </w14:solidFill>
          </w14:textFill>
        </w:rPr>
      </w:pPr>
    </w:p>
    <w:p w14:paraId="73E8F5E5">
      <w:pPr>
        <w:rPr>
          <w:b/>
          <w:color w:val="000000" w:themeColor="text1"/>
          <w14:textFill>
            <w14:solidFill>
              <w14:schemeClr w14:val="tx1"/>
            </w14:solidFill>
          </w14:textFill>
        </w:rPr>
      </w:pPr>
    </w:p>
    <w:p w14:paraId="4AD05A69">
      <w:pPr>
        <w:rPr>
          <w:b/>
          <w:color w:val="000000" w:themeColor="text1"/>
          <w14:textFill>
            <w14:solidFill>
              <w14:schemeClr w14:val="tx1"/>
            </w14:solidFill>
          </w14:textFill>
        </w:rPr>
      </w:pPr>
    </w:p>
    <w:p w14:paraId="7A91D729">
      <w:pPr>
        <w:jc w:val="center"/>
        <w:rPr>
          <w:b/>
          <w:color w:val="000000" w:themeColor="text1"/>
          <w14:textFill>
            <w14:solidFill>
              <w14:schemeClr w14:val="tx1"/>
            </w14:solidFill>
          </w14:textFill>
        </w:rPr>
      </w:pPr>
      <w:r>
        <w:rPr>
          <w:b/>
          <w:color w:val="000000" w:themeColor="text1"/>
          <w14:textFill>
            <w14:solidFill>
              <w14:schemeClr w14:val="tx1"/>
            </w14:solidFill>
          </w14:textFill>
        </w:rPr>
        <w:t>TURISTIČKA ZAJEDNICA OPĆINE SALI</w:t>
      </w:r>
    </w:p>
    <w:p w14:paraId="7D52E9DE">
      <w:pPr>
        <w:jc w:val="center"/>
        <w:rPr>
          <w:b/>
          <w:color w:val="000000" w:themeColor="text1"/>
          <w14:textFill>
            <w14:solidFill>
              <w14:schemeClr w14:val="tx1"/>
            </w14:solidFill>
          </w14:textFill>
        </w:rPr>
      </w:pPr>
    </w:p>
    <w:p w14:paraId="2B79BACB">
      <w:pPr>
        <w:rPr>
          <w:b/>
          <w:color w:val="000000" w:themeColor="text1"/>
          <w14:textFill>
            <w14:solidFill>
              <w14:schemeClr w14:val="tx1"/>
            </w14:solidFill>
          </w14:textFill>
        </w:rPr>
      </w:pPr>
    </w:p>
    <w:p w14:paraId="24ADD499">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 xml:space="preserve">ISTRAŽIVANJE I STRATEŠKO PLANIRANJE </w:t>
      </w:r>
    </w:p>
    <w:p w14:paraId="596EA40E">
      <w:pPr>
        <w:rPr>
          <w:b/>
          <w:color w:val="000000" w:themeColor="text1"/>
          <w14:textFill>
            <w14:solidFill>
              <w14:schemeClr w14:val="tx1"/>
            </w14:solidFill>
          </w14:textFill>
        </w:rPr>
      </w:pPr>
    </w:p>
    <w:p w14:paraId="559F82AD">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1.1.Izrada strateških/operativnih akcijskih dokumenata</w:t>
      </w:r>
    </w:p>
    <w:p w14:paraId="337CDBC6">
      <w:pPr>
        <w:autoSpaceDE w:val="0"/>
        <w:autoSpaceDN w:val="0"/>
        <w:adjustRightInd w:val="0"/>
        <w:rPr>
          <w:rFonts w:eastAsiaTheme="minorHAnsi"/>
          <w:b/>
          <w:bCs/>
          <w:color w:val="000000" w:themeColor="text1"/>
          <w:lang w:eastAsia="en-US"/>
          <w14:textFill>
            <w14:solidFill>
              <w14:schemeClr w14:val="tx1"/>
            </w14:solidFill>
          </w14:textFill>
        </w:rPr>
      </w:pPr>
    </w:p>
    <w:p w14:paraId="2128D71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1.1.1. Sudjelovanje u izradi strateških i razvojnih planova turizma na području destinacije</w:t>
      </w:r>
    </w:p>
    <w:p w14:paraId="1C038A7A">
      <w:pPr>
        <w:pStyle w:val="13"/>
        <w:numPr>
          <w:ilvl w:val="0"/>
          <w:numId w:val="6"/>
        </w:num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Plan </w:t>
      </w:r>
      <w:r>
        <w:rPr>
          <w:rFonts w:hint="default" w:eastAsiaTheme="minorHAnsi"/>
          <w:b/>
          <w:bCs/>
          <w:color w:val="000000" w:themeColor="text1"/>
          <w:lang w:val="hr-HR" w:eastAsia="en-US"/>
          <w14:textFill>
            <w14:solidFill>
              <w14:schemeClr w14:val="tx1"/>
            </w14:solidFill>
          </w14:textFill>
        </w:rPr>
        <w:t>upravljanja i kapaciteti nosivosti</w:t>
      </w:r>
    </w:p>
    <w:p w14:paraId="1B3EED4C">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48B11195">
      <w:pPr>
        <w:autoSpaceDE w:val="0"/>
        <w:autoSpaceDN w:val="0"/>
        <w:adjustRightInd w:val="0"/>
        <w:rPr>
          <w:rFonts w:hint="default" w:eastAsiaTheme="minorHAnsi"/>
          <w:bCs/>
          <w:color w:val="000000" w:themeColor="text1"/>
          <w:lang w:val="hr-HR" w:eastAsia="en-US"/>
          <w14:textFill>
            <w14:solidFill>
              <w14:schemeClr w14:val="tx1"/>
            </w14:solidFill>
          </w14:textFill>
        </w:rPr>
      </w:pPr>
      <w:r>
        <w:rPr>
          <w:rFonts w:eastAsiaTheme="minorHAnsi"/>
          <w:bCs/>
          <w:color w:val="000000" w:themeColor="text1"/>
          <w:lang w:eastAsia="en-US"/>
          <w14:textFill>
            <w14:solidFill>
              <w14:schemeClr w14:val="tx1"/>
            </w14:solidFill>
          </w14:textFill>
        </w:rPr>
        <w:t xml:space="preserve">Turistička zajednica je </w:t>
      </w:r>
      <w:r>
        <w:rPr>
          <w:rFonts w:hint="default" w:eastAsiaTheme="minorHAnsi"/>
          <w:bCs/>
          <w:color w:val="000000" w:themeColor="text1"/>
          <w:lang w:val="hr-HR" w:eastAsia="en-US"/>
          <w14:textFill>
            <w14:solidFill>
              <w14:schemeClr w14:val="tx1"/>
            </w14:solidFill>
          </w14:textFill>
        </w:rPr>
        <w:t>izradila PU i izračun kapaciteta nosivosti. Dokument će u veljači 2026. biti na esavjetovanje, te je plan da se usvoji do travnja 2026. Odrađeno je niz radionica i edukacija na temu, provedene ssu ankete, te se surađivalo sa svim dionicima i stručnim osobama prilikom izrade PU.</w:t>
      </w:r>
    </w:p>
    <w:p w14:paraId="0100A64A">
      <w:pPr>
        <w:autoSpaceDE w:val="0"/>
        <w:autoSpaceDN w:val="0"/>
        <w:adjustRightInd w:val="0"/>
        <w:rPr>
          <w:rFonts w:hint="default" w:eastAsiaTheme="minorHAnsi"/>
          <w:bCs/>
          <w:color w:val="000000" w:themeColor="text1"/>
          <w:lang w:val="hr-HR"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Cilj aktivnosti: </w:t>
      </w:r>
      <w:r>
        <w:rPr>
          <w:rFonts w:hint="default" w:eastAsiaTheme="minorHAnsi"/>
          <w:bCs/>
          <w:color w:val="000000" w:themeColor="text1"/>
          <w:lang w:val="hr-HR" w:eastAsia="en-US"/>
          <w14:textFill>
            <w14:solidFill>
              <w14:schemeClr w14:val="tx1"/>
            </w14:solidFill>
          </w14:textFill>
        </w:rPr>
        <w:t>Priprema za izradu Plana upravljanja destinacijom</w:t>
      </w:r>
    </w:p>
    <w:p w14:paraId="5DD7AC7A">
      <w:pPr>
        <w:autoSpaceDE w:val="0"/>
        <w:autoSpaceDN w:val="0"/>
        <w:adjustRightInd w:val="0"/>
        <w:rPr>
          <w:rFonts w:hint="default" w:eastAsiaTheme="minorHAnsi"/>
          <w:bCs/>
          <w:color w:val="000000" w:themeColor="text1"/>
          <w:lang w:val="hr-HR"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 aktivnosti: </w:t>
      </w:r>
      <w:r>
        <w:rPr>
          <w:rFonts w:eastAsiaTheme="minorHAnsi"/>
          <w:bCs/>
          <w:color w:val="000000" w:themeColor="text1"/>
          <w:lang w:eastAsia="en-US"/>
          <w14:textFill>
            <w14:solidFill>
              <w14:schemeClr w14:val="tx1"/>
            </w14:solidFill>
          </w14:textFill>
        </w:rPr>
        <w:t>TZ</w:t>
      </w:r>
      <w:r>
        <w:rPr>
          <w:rFonts w:hint="default" w:eastAsiaTheme="minorHAnsi"/>
          <w:bCs/>
          <w:color w:val="000000" w:themeColor="text1"/>
          <w:lang w:val="hr-HR" w:eastAsia="en-US"/>
          <w14:textFill>
            <w14:solidFill>
              <w14:schemeClr w14:val="tx1"/>
            </w14:solidFill>
          </w14:textFill>
        </w:rPr>
        <w:t>O Sali</w:t>
      </w:r>
    </w:p>
    <w:p w14:paraId="4F3E738A">
      <w:pPr>
        <w:autoSpaceDE w:val="0"/>
        <w:autoSpaceDN w:val="0"/>
        <w:adjustRightInd w:val="0"/>
        <w:rPr>
          <w:rFonts w:eastAsiaTheme="minorHAnsi"/>
          <w:bCs/>
          <w:color w:val="000000" w:themeColor="text1"/>
          <w:lang w:eastAsia="en-US"/>
          <w14:textFill>
            <w14:solidFill>
              <w14:schemeClr w14:val="tx1"/>
            </w14:solidFill>
          </w14:textFill>
        </w:rPr>
      </w:pPr>
    </w:p>
    <w:p w14:paraId="50EBDB51">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Planirano: </w:t>
      </w:r>
      <w:r>
        <w:rPr>
          <w:rFonts w:hint="default" w:eastAsiaTheme="minorHAnsi"/>
          <w:bCs/>
          <w:i/>
          <w:color w:val="000000" w:themeColor="text1"/>
          <w:lang w:val="hr-HR" w:eastAsia="en-US"/>
          <w14:textFill>
            <w14:solidFill>
              <w14:schemeClr w14:val="tx1"/>
            </w14:solidFill>
          </w14:textFill>
        </w:rPr>
        <w:t xml:space="preserve">5.000,00 </w:t>
      </w:r>
      <w:r>
        <w:rPr>
          <w:rFonts w:eastAsiaTheme="minorHAnsi"/>
          <w:bCs/>
          <w:i/>
          <w:color w:val="000000" w:themeColor="text1"/>
          <w:lang w:eastAsia="en-US"/>
          <w14:textFill>
            <w14:solidFill>
              <w14:schemeClr w14:val="tx1"/>
            </w14:solidFill>
          </w14:textFill>
        </w:rPr>
        <w:t>eura</w:t>
      </w:r>
      <w:r>
        <w:rPr>
          <w:rFonts w:eastAsiaTheme="minorHAnsi"/>
          <w:bCs/>
          <w:i/>
          <w:color w:val="000000" w:themeColor="text1"/>
          <w:lang w:eastAsia="en-US"/>
          <w14:textFill>
            <w14:solidFill>
              <w14:schemeClr w14:val="tx1"/>
            </w14:solidFill>
          </w14:textFill>
        </w:rPr>
        <w:tab/>
      </w:r>
      <w:r>
        <w:rPr>
          <w:rFonts w:eastAsiaTheme="minorHAnsi"/>
          <w:bCs/>
          <w:i/>
          <w:color w:val="000000" w:themeColor="text1"/>
          <w:lang w:eastAsia="en-US"/>
          <w14:textFill>
            <w14:solidFill>
              <w14:schemeClr w14:val="tx1"/>
            </w14:solidFill>
          </w14:textFill>
        </w:rPr>
        <w:tab/>
      </w:r>
      <w:r>
        <w:rPr>
          <w:rFonts w:eastAsiaTheme="minorHAnsi"/>
          <w:b/>
          <w:bCs/>
          <w:color w:val="000000" w:themeColor="text1"/>
          <w:lang w:eastAsia="en-US"/>
          <w14:textFill>
            <w14:solidFill>
              <w14:schemeClr w14:val="tx1"/>
            </w14:solidFill>
          </w14:textFill>
        </w:rPr>
        <w:t xml:space="preserve">Realizirano: </w:t>
      </w:r>
      <w:r>
        <w:rPr>
          <w:rFonts w:hint="default" w:eastAsiaTheme="minorHAnsi"/>
          <w:bCs/>
          <w:color w:val="000000" w:themeColor="text1"/>
          <w:lang w:val="hr-HR" w:eastAsia="en-US"/>
          <w14:textFill>
            <w14:solidFill>
              <w14:schemeClr w14:val="tx1"/>
            </w14:solidFill>
          </w14:textFill>
        </w:rPr>
        <w:t>5.000</w:t>
      </w:r>
      <w:r>
        <w:rPr>
          <w:rFonts w:eastAsiaTheme="minorHAnsi"/>
          <w:bCs/>
          <w:color w:val="000000" w:themeColor="text1"/>
          <w:lang w:eastAsia="en-US"/>
          <w14:textFill>
            <w14:solidFill>
              <w14:schemeClr w14:val="tx1"/>
            </w14:solidFill>
          </w14:textFill>
        </w:rPr>
        <w:t>,00 eura</w:t>
      </w:r>
    </w:p>
    <w:p w14:paraId="4F43C28F">
      <w:pPr>
        <w:autoSpaceDE w:val="0"/>
        <w:autoSpaceDN w:val="0"/>
        <w:adjustRightInd w:val="0"/>
        <w:rPr>
          <w:rFonts w:eastAsiaTheme="minorHAnsi"/>
          <w:bCs/>
          <w:color w:val="000000" w:themeColor="text1"/>
          <w:lang w:eastAsia="en-US"/>
          <w14:textFill>
            <w14:solidFill>
              <w14:schemeClr w14:val="tx1"/>
            </w14:solidFill>
          </w14:textFill>
        </w:rPr>
      </w:pPr>
    </w:p>
    <w:p w14:paraId="0C5FC84E">
      <w:pPr>
        <w:autoSpaceDE w:val="0"/>
        <w:autoSpaceDN w:val="0"/>
        <w:adjustRightInd w:val="0"/>
        <w:rPr>
          <w:rFonts w:eastAsiaTheme="minorHAnsi"/>
          <w:bCs/>
          <w:color w:val="000000" w:themeColor="text1"/>
          <w:lang w:eastAsia="en-US"/>
          <w14:textFill>
            <w14:solidFill>
              <w14:schemeClr w14:val="tx1"/>
            </w14:solidFill>
          </w14:textFill>
        </w:rPr>
      </w:pPr>
    </w:p>
    <w:p w14:paraId="6F6783A2">
      <w:pPr>
        <w:autoSpaceDE w:val="0"/>
        <w:autoSpaceDN w:val="0"/>
        <w:adjustRightInd w:val="0"/>
        <w:rPr>
          <w:rFonts w:eastAsiaTheme="minorHAnsi"/>
          <w:bCs/>
          <w:color w:val="000000" w:themeColor="text1"/>
          <w:lang w:eastAsia="en-US"/>
          <w14:textFill>
            <w14:solidFill>
              <w14:schemeClr w14:val="tx1"/>
            </w14:solidFill>
          </w14:textFill>
        </w:rPr>
      </w:pPr>
    </w:p>
    <w:p w14:paraId="2BC47F63">
      <w:pPr>
        <w:pStyle w:val="13"/>
        <w:numPr>
          <w:ilvl w:val="0"/>
          <w:numId w:val="6"/>
        </w:num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Kreiranje zajedničke oznake za promociju turističkog odredišta Dugi otok i otočkih proizvoda i usluga</w:t>
      </w:r>
    </w:p>
    <w:p w14:paraId="12BB8802">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4EAC4719">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Cs/>
          <w:color w:val="000000" w:themeColor="text1"/>
          <w:lang w:eastAsia="en-US"/>
          <w14:textFill>
            <w14:solidFill>
              <w14:schemeClr w14:val="tx1"/>
            </w14:solidFill>
          </w14:textFill>
        </w:rPr>
        <w:t>Turistička zajednica je u suradnji sa Općinom i PP Telašćicom sudjelovala u izradi kreiranja zajedničke oznake za promociju turističkog odredišta Dugi otok i otočkih proizvoda. Planira se sudjelovanje u revidiranju i analiza ostvarenog na osnovi planiranog, kao i dodatan rad na animiranju lokalnih proizvođača i pomoć istima za dobivanje oznake.</w:t>
      </w:r>
    </w:p>
    <w:p w14:paraId="7FFA3F08">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Cilj aktivnosti</w:t>
      </w:r>
      <w:r>
        <w:rPr>
          <w:rFonts w:eastAsiaTheme="minorHAnsi"/>
          <w:bCs/>
          <w:color w:val="000000" w:themeColor="text1"/>
          <w:lang w:eastAsia="en-US"/>
          <w14:textFill>
            <w14:solidFill>
              <w14:schemeClr w14:val="tx1"/>
            </w14:solidFill>
          </w14:textFill>
        </w:rPr>
        <w:t>: pregled i analiziranje dokumenta te pregled realiziranja postavljenih ciljeva</w:t>
      </w:r>
    </w:p>
    <w:p w14:paraId="152D5656">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 aktivnosti: </w:t>
      </w:r>
      <w:r>
        <w:rPr>
          <w:rFonts w:eastAsiaTheme="minorHAnsi"/>
          <w:bCs/>
          <w:color w:val="000000" w:themeColor="text1"/>
          <w:lang w:eastAsia="en-US"/>
          <w14:textFill>
            <w14:solidFill>
              <w14:schemeClr w14:val="tx1"/>
            </w14:solidFill>
          </w14:textFill>
        </w:rPr>
        <w:t>TZ, Općina Sali, PP Telašćica</w:t>
      </w:r>
    </w:p>
    <w:p w14:paraId="47B423BD">
      <w:pPr>
        <w:autoSpaceDE w:val="0"/>
        <w:autoSpaceDN w:val="0"/>
        <w:adjustRightInd w:val="0"/>
        <w:rPr>
          <w:rFonts w:eastAsiaTheme="minorHAnsi"/>
          <w:b/>
          <w:bCs/>
          <w:color w:val="FF0000"/>
          <w:lang w:eastAsia="en-US"/>
        </w:rPr>
      </w:pPr>
      <w:r>
        <w:rPr>
          <w:rFonts w:eastAsiaTheme="minorHAnsi"/>
          <w:b/>
          <w:bCs/>
          <w:color w:val="000000" w:themeColor="text1"/>
          <w:lang w:eastAsia="en-US"/>
          <w14:textFill>
            <w14:solidFill>
              <w14:schemeClr w14:val="tx1"/>
            </w14:solidFill>
          </w14:textFill>
        </w:rPr>
        <w:t>Planirano</w:t>
      </w:r>
      <w:r>
        <w:rPr>
          <w:rFonts w:eastAsiaTheme="minorHAnsi"/>
          <w:bCs/>
          <w:color w:val="000000" w:themeColor="text1"/>
          <w:lang w:eastAsia="en-US"/>
          <w14:textFill>
            <w14:solidFill>
              <w14:schemeClr w14:val="tx1"/>
            </w14:solidFill>
          </w14:textFill>
        </w:rPr>
        <w:t xml:space="preserve">: </w:t>
      </w:r>
      <w:r>
        <w:rPr>
          <w:rFonts w:eastAsiaTheme="minorHAnsi"/>
          <w:bCs/>
          <w:i/>
          <w:color w:val="000000" w:themeColor="text1"/>
          <w:lang w:eastAsia="en-US"/>
          <w14:textFill>
            <w14:solidFill>
              <w14:schemeClr w14:val="tx1"/>
            </w14:solidFill>
          </w14:textFill>
        </w:rPr>
        <w:t>0,00 eura</w:t>
      </w:r>
      <w:r>
        <w:rPr>
          <w:rFonts w:eastAsiaTheme="minorHAnsi"/>
          <w:bCs/>
          <w:i/>
          <w:color w:val="000000" w:themeColor="text1"/>
          <w:lang w:eastAsia="en-US"/>
          <w14:textFill>
            <w14:solidFill>
              <w14:schemeClr w14:val="tx1"/>
            </w14:solidFill>
          </w14:textFill>
        </w:rPr>
        <w:tab/>
      </w:r>
      <w:r>
        <w:rPr>
          <w:rFonts w:eastAsiaTheme="minorHAnsi"/>
          <w:bCs/>
          <w:i/>
          <w:color w:val="000000" w:themeColor="text1"/>
          <w:lang w:eastAsia="en-US"/>
          <w14:textFill>
            <w14:solidFill>
              <w14:schemeClr w14:val="tx1"/>
            </w14:solidFill>
          </w14:textFill>
        </w:rPr>
        <w:tab/>
      </w:r>
      <w:r>
        <w:rPr>
          <w:rFonts w:eastAsiaTheme="minorHAnsi"/>
          <w:b/>
          <w:bCs/>
          <w:color w:val="000000" w:themeColor="text1"/>
          <w:lang w:eastAsia="en-US"/>
          <w14:textFill>
            <w14:solidFill>
              <w14:schemeClr w14:val="tx1"/>
            </w14:solidFill>
          </w14:textFill>
        </w:rPr>
        <w:t xml:space="preserve">Realizirano: </w:t>
      </w:r>
      <w:r>
        <w:rPr>
          <w:rFonts w:eastAsiaTheme="minorHAnsi"/>
          <w:bCs/>
          <w:color w:val="000000" w:themeColor="text1"/>
          <w:lang w:eastAsia="en-US"/>
          <w14:textFill>
            <w14:solidFill>
              <w14:schemeClr w14:val="tx1"/>
            </w14:solidFill>
          </w14:textFill>
        </w:rPr>
        <w:t>0,00 eura</w:t>
      </w:r>
    </w:p>
    <w:p w14:paraId="7BC58129">
      <w:pPr>
        <w:autoSpaceDE w:val="0"/>
        <w:autoSpaceDN w:val="0"/>
        <w:adjustRightInd w:val="0"/>
        <w:rPr>
          <w:rFonts w:eastAsiaTheme="minorHAnsi"/>
          <w:bCs/>
          <w:color w:val="000000" w:themeColor="text1"/>
          <w:lang w:eastAsia="en-US"/>
          <w14:textFill>
            <w14:solidFill>
              <w14:schemeClr w14:val="tx1"/>
            </w14:solidFill>
          </w14:textFill>
        </w:rPr>
      </w:pPr>
    </w:p>
    <w:p w14:paraId="00978FA2">
      <w:pPr>
        <w:autoSpaceDE w:val="0"/>
        <w:autoSpaceDN w:val="0"/>
        <w:adjustRightInd w:val="0"/>
        <w:rPr>
          <w:rFonts w:eastAsiaTheme="minorHAnsi"/>
          <w:bCs/>
          <w:color w:val="000000" w:themeColor="text1"/>
          <w:lang w:eastAsia="en-US"/>
          <w14:textFill>
            <w14:solidFill>
              <w14:schemeClr w14:val="tx1"/>
            </w14:solidFill>
          </w14:textFill>
        </w:rPr>
      </w:pPr>
    </w:p>
    <w:p w14:paraId="7869E2E4">
      <w:pPr>
        <w:autoSpaceDE w:val="0"/>
        <w:autoSpaceDN w:val="0"/>
        <w:adjustRightInd w:val="0"/>
        <w:rPr>
          <w:rFonts w:eastAsiaTheme="minorHAnsi"/>
          <w:bCs/>
          <w:color w:val="000000" w:themeColor="text1"/>
          <w:lang w:eastAsia="en-US"/>
          <w14:textFill>
            <w14:solidFill>
              <w14:schemeClr w14:val="tx1"/>
            </w14:solidFill>
          </w14:textFill>
        </w:rPr>
      </w:pPr>
    </w:p>
    <w:p w14:paraId="5A1A4031">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1.1.2. Akcijski i operativni planovi</w:t>
      </w:r>
    </w:p>
    <w:p w14:paraId="79D2D88C">
      <w:pPr>
        <w:autoSpaceDE w:val="0"/>
        <w:autoSpaceDN w:val="0"/>
        <w:adjustRightInd w:val="0"/>
        <w:rPr>
          <w:rFonts w:eastAsiaTheme="minorHAnsi"/>
          <w:b/>
          <w:bCs/>
          <w:color w:val="000000" w:themeColor="text1"/>
          <w:lang w:eastAsia="en-US"/>
          <w14:textFill>
            <w14:solidFill>
              <w14:schemeClr w14:val="tx1"/>
            </w14:solidFill>
          </w14:textFill>
        </w:rPr>
      </w:pPr>
    </w:p>
    <w:p w14:paraId="16E119F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2CAB46F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planira izraditi u suradnji sa Općinom Sali i PP Telašćicom akcijske i operativne planove pješačkog i cikloturizma, ali i ostale planove po pitanju uređenja mjesta, prirodne i kulturne baštine, kao i podizanju kvalitete nautičkog turizma, obzirom na sredstva od TP-a od nautike.</w:t>
      </w:r>
    </w:p>
    <w:p w14:paraId="417288A5">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Cilj aktivnosti</w:t>
      </w:r>
      <w:r>
        <w:rPr>
          <w:rFonts w:eastAsiaTheme="minorHAnsi"/>
          <w:bCs/>
          <w:color w:val="000000" w:themeColor="text1"/>
          <w:lang w:eastAsia="en-US"/>
          <w14:textFill>
            <w14:solidFill>
              <w14:schemeClr w14:val="tx1"/>
            </w14:solidFill>
          </w14:textFill>
        </w:rPr>
        <w:t>: Poboljšanje razvoja destinacije</w:t>
      </w:r>
    </w:p>
    <w:p w14:paraId="78F17DC2">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 aktivnosti: </w:t>
      </w:r>
      <w:r>
        <w:rPr>
          <w:rFonts w:eastAsiaTheme="minorHAnsi"/>
          <w:bCs/>
          <w:color w:val="000000" w:themeColor="text1"/>
          <w:lang w:eastAsia="en-US"/>
          <w14:textFill>
            <w14:solidFill>
              <w14:schemeClr w14:val="tx1"/>
            </w14:solidFill>
          </w14:textFill>
        </w:rPr>
        <w:t>TZ, Općina Sali, ŽLU i Mulić d.o.o.</w:t>
      </w:r>
    </w:p>
    <w:p w14:paraId="05CC4315">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Planirano</w:t>
      </w:r>
      <w:r>
        <w:rPr>
          <w:rFonts w:eastAsiaTheme="minorHAnsi"/>
          <w:bCs/>
          <w:color w:val="000000" w:themeColor="text1"/>
          <w:lang w:eastAsia="en-US"/>
          <w14:textFill>
            <w14:solidFill>
              <w14:schemeClr w14:val="tx1"/>
            </w14:solidFill>
          </w14:textFill>
        </w:rPr>
        <w:t xml:space="preserve">: </w:t>
      </w:r>
      <w:r>
        <w:rPr>
          <w:rFonts w:eastAsiaTheme="minorHAnsi"/>
          <w:bCs/>
          <w:i/>
          <w:color w:val="000000" w:themeColor="text1"/>
          <w:lang w:eastAsia="en-US"/>
          <w14:textFill>
            <w14:solidFill>
              <w14:schemeClr w14:val="tx1"/>
            </w14:solidFill>
          </w14:textFill>
        </w:rPr>
        <w:t>0,00 eura</w:t>
      </w:r>
      <w:r>
        <w:rPr>
          <w:rFonts w:eastAsiaTheme="minorHAnsi"/>
          <w:bCs/>
          <w:i/>
          <w:color w:val="000000" w:themeColor="text1"/>
          <w:lang w:eastAsia="en-US"/>
          <w14:textFill>
            <w14:solidFill>
              <w14:schemeClr w14:val="tx1"/>
            </w14:solidFill>
          </w14:textFill>
        </w:rPr>
        <w:tab/>
      </w:r>
      <w:r>
        <w:rPr>
          <w:rFonts w:eastAsiaTheme="minorHAnsi"/>
          <w:bCs/>
          <w:i/>
          <w:color w:val="000000" w:themeColor="text1"/>
          <w:lang w:eastAsia="en-US"/>
          <w14:textFill>
            <w14:solidFill>
              <w14:schemeClr w14:val="tx1"/>
            </w14:solidFill>
          </w14:textFill>
        </w:rPr>
        <w:tab/>
      </w:r>
      <w:r>
        <w:rPr>
          <w:rFonts w:eastAsiaTheme="minorHAnsi"/>
          <w:b/>
          <w:bCs/>
          <w:color w:val="000000" w:themeColor="text1"/>
          <w:lang w:eastAsia="en-US"/>
          <w14:textFill>
            <w14:solidFill>
              <w14:schemeClr w14:val="tx1"/>
            </w14:solidFill>
          </w14:textFill>
        </w:rPr>
        <w:t xml:space="preserve">Realizirano: </w:t>
      </w:r>
      <w:r>
        <w:rPr>
          <w:rFonts w:eastAsiaTheme="minorHAnsi"/>
          <w:bCs/>
          <w:color w:val="000000" w:themeColor="text1"/>
          <w:lang w:eastAsia="en-US"/>
          <w14:textFill>
            <w14:solidFill>
              <w14:schemeClr w14:val="tx1"/>
            </w14:solidFill>
          </w14:textFill>
        </w:rPr>
        <w:t>0,00 eura</w:t>
      </w:r>
    </w:p>
    <w:p w14:paraId="3D8659BC">
      <w:pPr>
        <w:autoSpaceDE w:val="0"/>
        <w:autoSpaceDN w:val="0"/>
        <w:adjustRightInd w:val="0"/>
        <w:rPr>
          <w:rFonts w:eastAsiaTheme="minorHAnsi"/>
          <w:b/>
          <w:bCs/>
          <w:color w:val="000000" w:themeColor="text1"/>
          <w:lang w:eastAsia="en-US"/>
          <w14:textFill>
            <w14:solidFill>
              <w14:schemeClr w14:val="tx1"/>
            </w14:solidFill>
          </w14:textFill>
        </w:rPr>
      </w:pPr>
    </w:p>
    <w:p w14:paraId="224E37E5">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1.2. Istraživanje i analiza tržišta:</w:t>
      </w:r>
    </w:p>
    <w:p w14:paraId="79D642F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1.2.1 Redovne analize tržišta, kretanje trendova, benchmarking</w:t>
      </w:r>
    </w:p>
    <w:p w14:paraId="46A7DF67">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opis aktivnosti:</w:t>
      </w:r>
    </w:p>
    <w:p w14:paraId="3F095DE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Turistička zajednica će nastaviti provoditi raznovrsna istraživanja zadovoljstva turista sa aspekta turističke ponude. Također se planira redovna analiza tržišta i kretanja na državnoj i međunarodnoj razini. Za cilj je uključiti maksimalan broj turističkih djelatnika, hotelijera i ugostitelja naše destinacije u projekt turističke zajednice kako bi kvaliteta usluživanja gosta i odnos prema turistima bio na vrhunskom nivou i na taj način unaprijedio razvoj turizma u destinaciji. Također daljnji razvoj i poticanje nositelja oznake Kvalitetno Dugi otok te njihovo uključenje u ugostiteljsku ponudu.</w:t>
      </w:r>
    </w:p>
    <w:p w14:paraId="5B9FC563">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Cilj je ostvariti više turističkih dolazaka i noćenja turista nego u prethodnom razdoblju, kao i veći broj „zadovoljnih gostiju“.</w:t>
      </w:r>
    </w:p>
    <w:p w14:paraId="5452067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w:t>
      </w:r>
    </w:p>
    <w:p w14:paraId="218D99E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p>
    <w:p w14:paraId="048D7857">
      <w:pPr>
        <w:autoSpaceDE w:val="0"/>
        <w:autoSpaceDN w:val="0"/>
        <w:adjustRightInd w:val="0"/>
        <w:rPr>
          <w:rFonts w:eastAsiaTheme="minorHAnsi"/>
          <w:b/>
          <w:color w:val="000000" w:themeColor="text1"/>
          <w:lang w:eastAsia="en-US"/>
          <w14:textFill>
            <w14:solidFill>
              <w14:schemeClr w14:val="tx1"/>
            </w14:solidFill>
          </w14:textFill>
        </w:rPr>
      </w:pPr>
    </w:p>
    <w:p w14:paraId="560B1FC0">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1.2.2 Analize koje će se izrađivati prema potrebi sustava za obavljanje raznih zadaća i aktivnosti</w:t>
      </w:r>
    </w:p>
    <w:p w14:paraId="704DFBE4">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Turistička zajednica će provoditi razne analize i istraživanja u svrhu kvalitetnije provedbe planiranih aktivnosti.</w:t>
      </w:r>
      <w:r>
        <w:rPr>
          <w:rFonts w:hint="default" w:eastAsiaTheme="minorHAnsi"/>
          <w:color w:val="000000" w:themeColor="text1"/>
          <w:lang w:val="hr-HR" w:eastAsia="en-US"/>
          <w14:textFill>
            <w14:solidFill>
              <w14:schemeClr w14:val="tx1"/>
            </w14:solidFill>
          </w14:textFill>
        </w:rPr>
        <w:t xml:space="preserve"> U 2024. godini izrađena je analiza i detekcija svih speleoloških lokacija na Dugom otoku, dok smo u 2025. proveli analizu potencijalnih stijena za uređenje dodatnih penjališta.</w:t>
      </w:r>
    </w:p>
    <w:p w14:paraId="64201631">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Za cilj je </w:t>
      </w:r>
      <w:r>
        <w:rPr>
          <w:rFonts w:hint="default" w:eastAsiaTheme="minorHAnsi"/>
          <w:color w:val="000000" w:themeColor="text1"/>
          <w:lang w:val="hr-HR" w:eastAsia="en-US"/>
          <w14:textFill>
            <w14:solidFill>
              <w14:schemeClr w14:val="tx1"/>
            </w14:solidFill>
          </w14:textFill>
        </w:rPr>
        <w:t>dobiti stanje speleoloških i penjačkih lokacija na otoku i njihova eventualna uključenost u turističku ponudu, a sve u cilju</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 xml:space="preserve">podizanja </w:t>
      </w:r>
      <w:r>
        <w:rPr>
          <w:rFonts w:eastAsiaTheme="minorHAnsi"/>
          <w:color w:val="000000" w:themeColor="text1"/>
          <w:lang w:eastAsia="en-US"/>
          <w14:textFill>
            <w14:solidFill>
              <w14:schemeClr w14:val="tx1"/>
            </w14:solidFill>
          </w14:textFill>
        </w:rPr>
        <w:t>kvalitet</w:t>
      </w:r>
      <w:r>
        <w:rPr>
          <w:rFonts w:hint="default" w:eastAsiaTheme="minorHAnsi"/>
          <w:color w:val="000000" w:themeColor="text1"/>
          <w:lang w:val="hr-HR" w:eastAsia="en-US"/>
          <w14:textFill>
            <w14:solidFill>
              <w14:schemeClr w14:val="tx1"/>
            </w14:solidFill>
          </w14:textFill>
        </w:rPr>
        <w:t>e</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ponude</w:t>
      </w:r>
      <w:r>
        <w:rPr>
          <w:rFonts w:eastAsiaTheme="minorHAnsi"/>
          <w:color w:val="000000" w:themeColor="text1"/>
          <w:lang w:eastAsia="en-US"/>
          <w14:textFill>
            <w14:solidFill>
              <w14:schemeClr w14:val="tx1"/>
            </w14:solidFill>
          </w14:textFill>
        </w:rPr>
        <w:t xml:space="preserve"> gost</w:t>
      </w:r>
      <w:r>
        <w:rPr>
          <w:rFonts w:hint="default" w:eastAsiaTheme="minorHAnsi"/>
          <w:color w:val="000000" w:themeColor="text1"/>
          <w:lang w:val="hr-HR" w:eastAsia="en-US"/>
          <w14:textFill>
            <w14:solidFill>
              <w14:schemeClr w14:val="tx1"/>
            </w14:solidFill>
          </w14:textFill>
        </w:rPr>
        <w:t xml:space="preserve">u, te </w:t>
      </w:r>
      <w:r>
        <w:rPr>
          <w:rFonts w:eastAsiaTheme="minorHAnsi"/>
          <w:color w:val="000000" w:themeColor="text1"/>
          <w:lang w:eastAsia="en-US"/>
          <w14:textFill>
            <w14:solidFill>
              <w14:schemeClr w14:val="tx1"/>
            </w14:solidFill>
          </w14:textFill>
        </w:rPr>
        <w:t>unaprije</w:t>
      </w:r>
      <w:r>
        <w:rPr>
          <w:rFonts w:eastAsiaTheme="minorHAnsi"/>
          <w:color w:val="000000" w:themeColor="text1"/>
          <w:lang w:val="hr-HR" w:eastAsia="en-US"/>
          <w14:textFill>
            <w14:solidFill>
              <w14:schemeClr w14:val="tx1"/>
            </w14:solidFill>
          </w14:textFill>
        </w:rPr>
        <w:t>đ</w:t>
      </w:r>
      <w:r>
        <w:rPr>
          <w:rFonts w:hint="default" w:eastAsiaTheme="minorHAnsi"/>
          <w:color w:val="000000" w:themeColor="text1"/>
          <w:lang w:val="hr-HR" w:eastAsia="en-US"/>
          <w14:textFill>
            <w14:solidFill>
              <w14:schemeClr w14:val="tx1"/>
            </w14:solidFill>
          </w14:textFill>
        </w:rPr>
        <w:t>enje</w:t>
      </w:r>
      <w:r>
        <w:rPr>
          <w:rFonts w:eastAsiaTheme="minorHAnsi"/>
          <w:color w:val="000000" w:themeColor="text1"/>
          <w:lang w:eastAsia="en-US"/>
          <w14:textFill>
            <w14:solidFill>
              <w14:schemeClr w14:val="tx1"/>
            </w14:solidFill>
          </w14:textFill>
        </w:rPr>
        <w:t xml:space="preserve"> razvoj</w:t>
      </w:r>
      <w:r>
        <w:rPr>
          <w:rFonts w:hint="default" w:eastAsiaTheme="minorHAnsi"/>
          <w:color w:val="000000" w:themeColor="text1"/>
          <w:lang w:val="hr-HR" w:eastAsia="en-US"/>
          <w14:textFill>
            <w14:solidFill>
              <w14:schemeClr w14:val="tx1"/>
            </w14:solidFill>
          </w14:textFill>
        </w:rPr>
        <w:t>a</w:t>
      </w:r>
      <w:r>
        <w:rPr>
          <w:rFonts w:eastAsiaTheme="minorHAnsi"/>
          <w:color w:val="000000" w:themeColor="text1"/>
          <w:lang w:eastAsia="en-US"/>
          <w14:textFill>
            <w14:solidFill>
              <w14:schemeClr w14:val="tx1"/>
            </w14:solidFill>
          </w14:textFill>
        </w:rPr>
        <w:t xml:space="preserve"> turizma u destinaciji</w:t>
      </w:r>
      <w:r>
        <w:rPr>
          <w:rFonts w:hint="default" w:eastAsiaTheme="minorHAnsi"/>
          <w:color w:val="000000" w:themeColor="text1"/>
          <w:lang w:val="hr-HR" w:eastAsia="en-US"/>
          <w14:textFill>
            <w14:solidFill>
              <w14:schemeClr w14:val="tx1"/>
            </w14:solidFill>
          </w14:textFill>
        </w:rPr>
        <w:t xml:space="preserve"> i novih turističkih proizvoda.</w:t>
      </w:r>
      <w:r>
        <w:rPr>
          <w:rFonts w:eastAsiaTheme="minorHAnsi"/>
          <w:color w:val="000000" w:themeColor="text1"/>
          <w:lang w:eastAsia="en-US"/>
          <w14:textFill>
            <w14:solidFill>
              <w14:schemeClr w14:val="tx1"/>
            </w14:solidFill>
          </w14:textFill>
        </w:rPr>
        <w:t xml:space="preserve"> Također daljnji razvoj i poticanje nositelja oznake Kvalitetno Dugi otok te njihovo uključenje u ugostiteljsku ponudu.</w:t>
      </w:r>
    </w:p>
    <w:p w14:paraId="4AAB2A04">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 </w:t>
      </w:r>
      <w:r>
        <w:rPr>
          <w:rFonts w:hint="default" w:eastAsiaTheme="minorHAnsi"/>
          <w:color w:val="000000" w:themeColor="text1"/>
          <w:lang w:val="hr-HR" w:eastAsia="en-US"/>
          <w14:textFill>
            <w14:solidFill>
              <w14:schemeClr w14:val="tx1"/>
            </w14:solidFill>
          </w14:textFill>
        </w:rPr>
        <w:t>speleološko društvo, SPK Paklenica, OPG-ovci</w:t>
      </w:r>
    </w:p>
    <w:p w14:paraId="2DD5AF0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 xml:space="preserve">1.327,00 </w:t>
      </w:r>
      <w:r>
        <w:rPr>
          <w:rFonts w:eastAsiaTheme="minorHAnsi"/>
          <w:i/>
          <w:color w:val="000000" w:themeColor="text1"/>
          <w:lang w:eastAsia="en-US"/>
          <w14:textFill>
            <w14:solidFill>
              <w14:schemeClr w14:val="tx1"/>
            </w14:solidFill>
          </w14:textFill>
        </w:rPr>
        <w:t>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Realizirano: </w:t>
      </w:r>
      <w:r>
        <w:rPr>
          <w:rFonts w:hint="default" w:eastAsiaTheme="minorHAnsi"/>
          <w:color w:val="000000" w:themeColor="text1"/>
          <w:lang w:val="hr-HR" w:eastAsia="en-US"/>
          <w14:textFill>
            <w14:solidFill>
              <w14:schemeClr w14:val="tx1"/>
            </w14:solidFill>
          </w14:textFill>
        </w:rPr>
        <w:t>1.327,00</w:t>
      </w:r>
      <w:r>
        <w:rPr>
          <w:rFonts w:eastAsiaTheme="minorHAnsi"/>
          <w:color w:val="000000" w:themeColor="text1"/>
          <w:lang w:eastAsia="en-US"/>
          <w14:textFill>
            <w14:solidFill>
              <w14:schemeClr w14:val="tx1"/>
            </w14:solidFill>
          </w14:textFill>
        </w:rPr>
        <w:t xml:space="preserve"> eura</w:t>
      </w:r>
    </w:p>
    <w:p w14:paraId="360B280E">
      <w:pPr>
        <w:autoSpaceDE w:val="0"/>
        <w:autoSpaceDN w:val="0"/>
        <w:adjustRightInd w:val="0"/>
        <w:rPr>
          <w:rFonts w:eastAsiaTheme="minorHAnsi"/>
          <w:color w:val="000000" w:themeColor="text1"/>
          <w:lang w:eastAsia="en-US"/>
          <w14:textFill>
            <w14:solidFill>
              <w14:schemeClr w14:val="tx1"/>
            </w14:solidFill>
          </w14:textFill>
        </w:rPr>
      </w:pPr>
    </w:p>
    <w:p w14:paraId="132C9EA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1.3. Mjerenje učinkovitosti promotivnih aktivnosti:</w:t>
      </w:r>
    </w:p>
    <w:p w14:paraId="302EEA96">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1.3.1. Povratne informacije o ulaganjima turističke zajednice na svim razinama promocije</w:t>
      </w:r>
    </w:p>
    <w:p w14:paraId="78438D34">
      <w:pPr>
        <w:autoSpaceDE w:val="0"/>
        <w:autoSpaceDN w:val="0"/>
        <w:adjustRightInd w:val="0"/>
        <w:rPr>
          <w:rFonts w:eastAsiaTheme="minorHAnsi"/>
          <w:b/>
          <w:bCs/>
          <w:color w:val="000000" w:themeColor="text1"/>
          <w:lang w:eastAsia="en-US"/>
          <w14:textFill>
            <w14:solidFill>
              <w14:schemeClr w14:val="tx1"/>
            </w14:solidFill>
          </w14:textFill>
        </w:rPr>
      </w:pPr>
    </w:p>
    <w:p w14:paraId="428E363C">
      <w:pPr>
        <w:autoSpaceDE w:val="0"/>
        <w:autoSpaceDN w:val="0"/>
        <w:adjustRightInd w:val="0"/>
        <w:rPr>
          <w:rFonts w:eastAsiaTheme="minorHAnsi"/>
          <w:b/>
          <w:bCs/>
          <w:color w:val="000000" w:themeColor="text1"/>
          <w:lang w:eastAsia="en-US"/>
          <w14:textFill>
            <w14:solidFill>
              <w14:schemeClr w14:val="tx1"/>
            </w14:solidFill>
          </w14:textFill>
        </w:rPr>
      </w:pPr>
    </w:p>
    <w:p w14:paraId="30A4EDE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r>
        <w:rPr>
          <w:rFonts w:eastAsiaTheme="minorHAnsi"/>
          <w:color w:val="000000" w:themeColor="text1"/>
          <w:lang w:eastAsia="en-US"/>
          <w14:textFill>
            <w14:solidFill>
              <w14:schemeClr w14:val="tx1"/>
            </w14:solidFill>
          </w14:textFill>
        </w:rPr>
        <w:t xml:space="preserve"> </w:t>
      </w:r>
    </w:p>
    <w:p w14:paraId="495A99B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 xml:space="preserve">U sklopu promotivnih aktivnosti koje planiramo provoditi dobit će se povratne informacije o realizaciji promotivnih aktivnosti. </w:t>
      </w:r>
    </w:p>
    <w:p w14:paraId="28E1611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rezultat učinkovitosti promocije</w:t>
      </w:r>
    </w:p>
    <w:p w14:paraId="0C76433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TZO Sali</w:t>
      </w:r>
    </w:p>
    <w:p w14:paraId="6157F34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265,45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Realizirano: </w:t>
      </w:r>
      <w:r>
        <w:rPr>
          <w:rFonts w:eastAsiaTheme="minorHAnsi"/>
          <w:color w:val="000000" w:themeColor="text1"/>
          <w:lang w:eastAsia="en-US"/>
          <w14:textFill>
            <w14:solidFill>
              <w14:schemeClr w14:val="tx1"/>
            </w14:solidFill>
          </w14:textFill>
        </w:rPr>
        <w:t>265,45 eura</w:t>
      </w:r>
    </w:p>
    <w:p w14:paraId="24E72F5E">
      <w:pPr>
        <w:autoSpaceDE w:val="0"/>
        <w:autoSpaceDN w:val="0"/>
        <w:adjustRightInd w:val="0"/>
        <w:rPr>
          <w:rFonts w:eastAsiaTheme="minorHAnsi"/>
          <w:color w:val="000000" w:themeColor="text1"/>
          <w:lang w:eastAsia="en-US"/>
          <w14:textFill>
            <w14:solidFill>
              <w14:schemeClr w14:val="tx1"/>
            </w14:solidFill>
          </w14:textFill>
        </w:rPr>
      </w:pPr>
    </w:p>
    <w:p w14:paraId="52F5A6C2">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1.3.2. Razne ankete koje se provode ispitivanjem javnog mijenja</w:t>
      </w:r>
    </w:p>
    <w:p w14:paraId="24667B9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Turistička zajednica će provoditi, kao i svake godine, ispitivanje turista o doživljaju destinacije putem raznih anketa.</w:t>
      </w:r>
    </w:p>
    <w:p w14:paraId="61BDCAD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Ispitivanje zadovoljstva turista.</w:t>
      </w:r>
    </w:p>
    <w:p w14:paraId="0C7651A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TZO Sali</w:t>
      </w:r>
    </w:p>
    <w:p w14:paraId="7ABED61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0,00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Realizirano: </w:t>
      </w:r>
      <w:r>
        <w:rPr>
          <w:rFonts w:eastAsiaTheme="minorHAnsi"/>
          <w:color w:val="000000" w:themeColor="text1"/>
          <w:lang w:eastAsia="en-US"/>
          <w14:textFill>
            <w14:solidFill>
              <w14:schemeClr w14:val="tx1"/>
            </w14:solidFill>
          </w14:textFill>
        </w:rPr>
        <w:t>0,00 eura</w:t>
      </w:r>
    </w:p>
    <w:p w14:paraId="517900CC">
      <w:pPr>
        <w:tabs>
          <w:tab w:val="left" w:pos="3690"/>
        </w:tabs>
        <w:autoSpaceDE w:val="0"/>
        <w:autoSpaceDN w:val="0"/>
        <w:adjustRightInd w:val="0"/>
        <w:rPr>
          <w:rFonts w:eastAsiaTheme="minorHAnsi"/>
          <w:b/>
          <w:color w:val="000000" w:themeColor="text1"/>
          <w:lang w:eastAsia="en-US"/>
          <w14:textFill>
            <w14:solidFill>
              <w14:schemeClr w14:val="tx1"/>
            </w14:solidFill>
          </w14:textFill>
        </w:rPr>
      </w:pPr>
    </w:p>
    <w:p w14:paraId="62D0D1DF">
      <w:pPr>
        <w:tabs>
          <w:tab w:val="left" w:pos="3690"/>
        </w:tabs>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ab/>
      </w:r>
    </w:p>
    <w:p w14:paraId="4167963F">
      <w:pPr>
        <w:autoSpaceDE w:val="0"/>
        <w:autoSpaceDN w:val="0"/>
        <w:adjustRightInd w:val="0"/>
        <w:rPr>
          <w:rFonts w:eastAsiaTheme="minorHAnsi"/>
          <w:color w:val="000000" w:themeColor="text1"/>
          <w:lang w:eastAsia="en-US"/>
          <w14:textFill>
            <w14:solidFill>
              <w14:schemeClr w14:val="tx1"/>
            </w14:solidFill>
          </w14:textFill>
        </w:rPr>
      </w:pPr>
    </w:p>
    <w:p w14:paraId="3AD9CAB2">
      <w:pPr>
        <w:autoSpaceDE w:val="0"/>
        <w:autoSpaceDN w:val="0"/>
        <w:adjustRightInd w:val="0"/>
        <w:rPr>
          <w:rFonts w:eastAsiaTheme="minorHAnsi"/>
          <w:color w:val="000000" w:themeColor="text1"/>
          <w:lang w:eastAsia="en-US"/>
          <w14:textFill>
            <w14:solidFill>
              <w14:schemeClr w14:val="tx1"/>
            </w14:solidFill>
          </w14:textFill>
        </w:rPr>
      </w:pPr>
    </w:p>
    <w:p w14:paraId="1DCAB748">
      <w:pPr>
        <w:pStyle w:val="13"/>
        <w:numPr>
          <w:ilvl w:val="0"/>
          <w:numId w:val="5"/>
        </w:num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RAZVOJ TURISTIČKOG PROIZVODA</w:t>
      </w:r>
    </w:p>
    <w:p w14:paraId="563C5E4A">
      <w:pPr>
        <w:autoSpaceDE w:val="0"/>
        <w:autoSpaceDN w:val="0"/>
        <w:adjustRightInd w:val="0"/>
        <w:rPr>
          <w:rFonts w:eastAsiaTheme="minorHAnsi"/>
          <w:b/>
          <w:bCs/>
          <w:color w:val="000000" w:themeColor="text1"/>
          <w:lang w:eastAsia="en-US"/>
          <w14:textFill>
            <w14:solidFill>
              <w14:schemeClr w14:val="tx1"/>
            </w14:solidFill>
          </w14:textFill>
        </w:rPr>
      </w:pPr>
    </w:p>
    <w:p w14:paraId="26FDC042">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2.1. Identifikacija i vrednovanje resursa te strukturiranje turističkih proizvoda:</w:t>
      </w:r>
    </w:p>
    <w:p w14:paraId="5F6EFAF9">
      <w:pPr>
        <w:autoSpaceDE w:val="0"/>
        <w:autoSpaceDN w:val="0"/>
        <w:adjustRightInd w:val="0"/>
        <w:rPr>
          <w:rFonts w:eastAsiaTheme="minorHAnsi"/>
          <w:b/>
          <w:bCs/>
          <w:color w:val="000000" w:themeColor="text1"/>
          <w:lang w:eastAsia="en-US"/>
          <w14:textFill>
            <w14:solidFill>
              <w14:schemeClr w14:val="tx1"/>
            </w14:solidFill>
          </w14:textFill>
        </w:rPr>
      </w:pPr>
    </w:p>
    <w:p w14:paraId="78D8843B">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2.1.1. Selekcija ključnih atributa, poruka i identificiranje potencijalnih ciljnih skupina kojima se turistički proizvod komunicira</w:t>
      </w:r>
    </w:p>
    <w:p w14:paraId="20B8BBA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29A1063F">
      <w:pPr>
        <w:jc w:val="both"/>
      </w:pPr>
      <w:r>
        <w:t>TZO Sali vrši selekciju ključnih atributa i poruka za sve ciljne skupine turista. Ciljne skupine su obitelji s malom djecom, parovi, umirovljenici te korisnici aktivnog turizma i cikloturizma.</w:t>
      </w:r>
    </w:p>
    <w:p w14:paraId="329821C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t>Cilj aktivnosti je zadržavanje postojećih turista u destinaciji te privlačenje novih.</w:t>
      </w:r>
    </w:p>
    <w:p w14:paraId="1F88D5B4">
      <w:pPr>
        <w:tabs>
          <w:tab w:val="center" w:pos="4536"/>
        </w:tabs>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TZO Sali</w:t>
      </w:r>
      <w:r>
        <w:rPr>
          <w:rFonts w:eastAsiaTheme="minorHAnsi"/>
          <w:color w:val="000000" w:themeColor="text1"/>
          <w:lang w:eastAsia="en-US"/>
          <w14:textFill>
            <w14:solidFill>
              <w14:schemeClr w14:val="tx1"/>
            </w14:solidFill>
          </w14:textFill>
        </w:rPr>
        <w:tab/>
      </w:r>
    </w:p>
    <w:p w14:paraId="077BBB01">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0,00 eura</w:t>
      </w:r>
    </w:p>
    <w:p w14:paraId="76E1629C">
      <w:pPr>
        <w:autoSpaceDE w:val="0"/>
        <w:autoSpaceDN w:val="0"/>
        <w:adjustRightInd w:val="0"/>
        <w:rPr>
          <w:rFonts w:eastAsiaTheme="minorHAnsi"/>
          <w:b/>
          <w:bCs/>
          <w:color w:val="000000" w:themeColor="text1"/>
          <w:lang w:eastAsia="en-US"/>
          <w14:textFill>
            <w14:solidFill>
              <w14:schemeClr w14:val="tx1"/>
            </w14:solidFill>
          </w14:textFill>
        </w:rPr>
      </w:pPr>
    </w:p>
    <w:p w14:paraId="18AF1949">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2.1.2. Razvojne aktivnosti vezane uz povezivanje elemenata ponude u pakete i proizvode</w:t>
      </w:r>
    </w:p>
    <w:p w14:paraId="2F76D655">
      <w:pPr>
        <w:autoSpaceDE w:val="0"/>
        <w:autoSpaceDN w:val="0"/>
        <w:adjustRightInd w:val="0"/>
        <w:rPr>
          <w:rFonts w:eastAsiaTheme="minorHAnsi"/>
          <w:b/>
          <w:bCs/>
          <w:color w:val="000000" w:themeColor="text1"/>
          <w:lang w:eastAsia="en-US"/>
          <w14:textFill>
            <w14:solidFill>
              <w14:schemeClr w14:val="tx1"/>
            </w14:solidFill>
          </w14:textFill>
        </w:rPr>
      </w:pPr>
    </w:p>
    <w:p w14:paraId="293765CC">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w:t>
      </w:r>
    </w:p>
    <w:p w14:paraId="3325BE24">
      <w:pPr>
        <w:autoSpaceDE w:val="0"/>
        <w:autoSpaceDN w:val="0"/>
        <w:adjustRightInd w:val="0"/>
        <w:rPr>
          <w:rFonts w:hint="default" w:eastAsiaTheme="minorHAnsi"/>
          <w:bCs/>
          <w:color w:val="000000" w:themeColor="text1"/>
          <w:lang w:val="hr-HR" w:eastAsia="en-US"/>
          <w14:textFill>
            <w14:solidFill>
              <w14:schemeClr w14:val="tx1"/>
            </w14:solidFill>
          </w14:textFill>
        </w:rPr>
      </w:pPr>
      <w:r>
        <w:t>TZ Zadarske županije, Javni poziv za Potpore projektima razvoja turističkih proizvoda posebnih interesa za i</w:t>
      </w:r>
      <w:r>
        <w:rPr>
          <w:rFonts w:hint="default"/>
          <w:lang w:val="hr-HR"/>
        </w:rPr>
        <w:t xml:space="preserve">zradu vanjskog fitness terena, Soliona Veli Rat kao i realizaciju projekata udruženih TZ-a </w:t>
      </w:r>
    </w:p>
    <w:p w14:paraId="0533F9A4">
      <w:pPr>
        <w:autoSpaceDE w:val="0"/>
        <w:autoSpaceDN w:val="0"/>
        <w:adjustRightInd w:val="0"/>
        <w:rPr>
          <w:rFonts w:hint="default" w:eastAsiaTheme="minorHAnsi"/>
          <w:bCs/>
          <w:color w:val="000000" w:themeColor="text1"/>
          <w:lang w:val="hr-HR"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Cilj aktivnosti: </w:t>
      </w:r>
      <w:r>
        <w:rPr>
          <w:rFonts w:eastAsiaTheme="minorHAnsi"/>
          <w:bCs/>
          <w:color w:val="000000" w:themeColor="text1"/>
          <w:lang w:eastAsia="en-US"/>
          <w14:textFill>
            <w14:solidFill>
              <w14:schemeClr w14:val="tx1"/>
            </w14:solidFill>
          </w14:textFill>
        </w:rPr>
        <w:t>markacija staza,</w:t>
      </w:r>
      <w:r>
        <w:rPr>
          <w:rFonts w:hint="default" w:eastAsiaTheme="minorHAnsi"/>
          <w:bCs/>
          <w:color w:val="000000" w:themeColor="text1"/>
          <w:lang w:val="hr-HR" w:eastAsia="en-US"/>
          <w14:textFill>
            <w14:solidFill>
              <w14:schemeClr w14:val="tx1"/>
            </w14:solidFill>
          </w14:textFill>
        </w:rPr>
        <w:t xml:space="preserve"> signalizacija biciklističkih staza, uređenja vanjskih terena,</w:t>
      </w:r>
      <w:r>
        <w:rPr>
          <w:rFonts w:eastAsiaTheme="minorHAnsi"/>
          <w:bCs/>
          <w:color w:val="000000" w:themeColor="text1"/>
          <w:lang w:eastAsia="en-US"/>
          <w14:textFill>
            <w14:solidFill>
              <w14:schemeClr w14:val="tx1"/>
            </w14:solidFill>
          </w14:textFill>
        </w:rPr>
        <w:t xml:space="preserve"> implementacija maritimne baštine u turističku ponudu</w:t>
      </w:r>
      <w:r>
        <w:rPr>
          <w:rFonts w:hint="default" w:eastAsiaTheme="minorHAnsi"/>
          <w:bCs/>
          <w:color w:val="000000" w:themeColor="text1"/>
          <w:lang w:val="hr-HR" w:eastAsia="en-US"/>
          <w14:textFill>
            <w14:solidFill>
              <w14:schemeClr w14:val="tx1"/>
            </w14:solidFill>
          </w14:textFill>
        </w:rPr>
        <w:t xml:space="preserve">, </w:t>
      </w:r>
    </w:p>
    <w:p w14:paraId="7810678A">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Nositelji aktivnosti i partneri: </w:t>
      </w:r>
      <w:r>
        <w:rPr>
          <w:rFonts w:eastAsiaTheme="minorHAnsi"/>
          <w:bCs/>
          <w:color w:val="000000" w:themeColor="text1"/>
          <w:lang w:eastAsia="en-US"/>
          <w14:textFill>
            <w14:solidFill>
              <w14:schemeClr w14:val="tx1"/>
            </w14:solidFill>
          </w14:textFill>
        </w:rPr>
        <w:t>TZ, TZZŽ, Općina Sali, JU PP Telašćica</w:t>
      </w:r>
    </w:p>
    <w:p w14:paraId="0E8D4409">
      <w:pPr>
        <w:autoSpaceDE w:val="0"/>
        <w:autoSpaceDN w:val="0"/>
        <w:adjustRightInd w:val="0"/>
        <w:rPr>
          <w:rFonts w:eastAsiaTheme="minorHAnsi"/>
          <w:bCs/>
          <w:lang w:eastAsia="en-US"/>
        </w:rPr>
      </w:pPr>
      <w:r>
        <w:rPr>
          <w:rFonts w:eastAsiaTheme="minorHAnsi"/>
          <w:b/>
          <w:bCs/>
          <w:color w:val="000000" w:themeColor="text1"/>
          <w:lang w:eastAsia="en-US"/>
          <w14:textFill>
            <w14:solidFill>
              <w14:schemeClr w14:val="tx1"/>
            </w14:solidFill>
          </w14:textFill>
        </w:rPr>
        <w:t xml:space="preserve">Planirano: </w:t>
      </w:r>
      <w:r>
        <w:rPr>
          <w:rFonts w:hint="default" w:eastAsiaTheme="minorHAnsi"/>
          <w:b w:val="0"/>
          <w:bCs w:val="0"/>
          <w:color w:val="000000" w:themeColor="text1"/>
          <w:lang w:val="hr-HR" w:eastAsia="en-US"/>
          <w14:textFill>
            <w14:solidFill>
              <w14:schemeClr w14:val="tx1"/>
            </w14:solidFill>
          </w14:textFill>
        </w:rPr>
        <w:t>15</w:t>
      </w:r>
      <w:r>
        <w:rPr>
          <w:rFonts w:eastAsiaTheme="minorHAnsi"/>
          <w:b w:val="0"/>
          <w:bCs w:val="0"/>
          <w:i/>
          <w:color w:val="000000" w:themeColor="text1"/>
          <w:shd w:val="clear" w:color="auto" w:fill="auto"/>
          <w:lang w:eastAsia="en-US"/>
          <w14:textFill>
            <w14:solidFill>
              <w14:schemeClr w14:val="tx1"/>
            </w14:solidFill>
          </w14:textFill>
        </w:rPr>
        <w:t>.</w:t>
      </w:r>
      <w:r>
        <w:rPr>
          <w:rFonts w:eastAsiaTheme="minorHAnsi"/>
          <w:bCs/>
          <w:i/>
          <w:color w:val="000000" w:themeColor="text1"/>
          <w:lang w:eastAsia="en-US"/>
          <w14:textFill>
            <w14:solidFill>
              <w14:schemeClr w14:val="tx1"/>
            </w14:solidFill>
          </w14:textFill>
        </w:rPr>
        <w:t xml:space="preserve">000,00 eura </w:t>
      </w:r>
      <w:r>
        <w:rPr>
          <w:rFonts w:eastAsiaTheme="minorHAnsi"/>
          <w:bCs/>
          <w:i/>
          <w:color w:val="FF0000"/>
          <w:lang w:eastAsia="en-US"/>
        </w:rPr>
        <w:tab/>
      </w:r>
      <w:r>
        <w:rPr>
          <w:rFonts w:eastAsiaTheme="minorHAnsi"/>
          <w:bCs/>
          <w:i/>
          <w:color w:val="FF0000"/>
          <w:lang w:eastAsia="en-US"/>
        </w:rPr>
        <w:tab/>
      </w:r>
      <w:r>
        <w:rPr>
          <w:rFonts w:eastAsiaTheme="minorHAnsi"/>
          <w:b/>
          <w:bCs/>
          <w:lang w:eastAsia="en-US"/>
        </w:rPr>
        <w:t xml:space="preserve">Ostvareno: </w:t>
      </w:r>
      <w:r>
        <w:rPr>
          <w:rFonts w:hint="default" w:eastAsiaTheme="minorHAnsi"/>
          <w:b/>
          <w:bCs/>
          <w:lang w:val="hr-HR" w:eastAsia="en-US"/>
        </w:rPr>
        <w:t xml:space="preserve"> </w:t>
      </w:r>
      <w:r>
        <w:rPr>
          <w:rFonts w:hint="default" w:eastAsiaTheme="minorHAnsi"/>
          <w:b w:val="0"/>
          <w:bCs w:val="0"/>
          <w:lang w:val="hr-HR" w:eastAsia="en-US"/>
        </w:rPr>
        <w:t>15</w:t>
      </w:r>
      <w:r>
        <w:rPr>
          <w:rFonts w:eastAsiaTheme="minorHAnsi"/>
          <w:bCs/>
          <w:lang w:eastAsia="en-US"/>
        </w:rPr>
        <w:t>.000,00 eura</w:t>
      </w:r>
    </w:p>
    <w:p w14:paraId="7B3A9913">
      <w:pPr>
        <w:autoSpaceDE w:val="0"/>
        <w:autoSpaceDN w:val="0"/>
        <w:adjustRightInd w:val="0"/>
        <w:rPr>
          <w:rFonts w:eastAsiaTheme="minorHAnsi"/>
          <w:bCs/>
          <w:color w:val="000000" w:themeColor="text1"/>
          <w:lang w:eastAsia="en-US"/>
          <w14:textFill>
            <w14:solidFill>
              <w14:schemeClr w14:val="tx1"/>
            </w14:solidFill>
          </w14:textFill>
        </w:rPr>
      </w:pPr>
    </w:p>
    <w:p w14:paraId="6DA09C1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Projekt razvoja TOP doživljaja</w:t>
      </w:r>
    </w:p>
    <w:p w14:paraId="78E9DFEF">
      <w:pPr>
        <w:tabs>
          <w:tab w:val="left" w:pos="5265"/>
        </w:tabs>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r>
        <w:rPr>
          <w:rFonts w:eastAsiaTheme="minorHAnsi"/>
          <w:b/>
          <w:color w:val="000000" w:themeColor="text1"/>
          <w:lang w:eastAsia="en-US"/>
          <w14:textFill>
            <w14:solidFill>
              <w14:schemeClr w14:val="tx1"/>
            </w14:solidFill>
          </w14:textFill>
        </w:rPr>
        <w:tab/>
      </w:r>
    </w:p>
    <w:p w14:paraId="5FE4D8C7">
      <w:pPr>
        <w:rPr>
          <w:bCs/>
          <w:sz w:val="22"/>
          <w:szCs w:val="22"/>
        </w:rPr>
      </w:pPr>
      <w:r>
        <w:rPr>
          <w:bCs/>
        </w:rPr>
        <w:t>Planira se sudjelovanje putem interaktivnih radionica sa subjektima javnog i privatnog sektora. Neke od ključnih tema su - prikladnost tržištu, prilagođenost segmentima potražnje, jedinstveni prodajni prijedlozi, povratne informacije s tržišta, cjenovno pozicioniranje, lokacijske karakteristike, dostupnost, sezonalnost, operativni sati rada, vremensko trajanje, dostupnost informacija, rezervacije i plaćanje, partnerstva, logistika, sukladnost s brendom, promocija i komunikacija.</w:t>
      </w:r>
    </w:p>
    <w:p w14:paraId="0F423088">
      <w:r>
        <w:rPr>
          <w:b/>
        </w:rPr>
        <w:t xml:space="preserve">Cilj aktivnosti: </w:t>
      </w:r>
      <w:r>
        <w:t>odabir perjanica ponude turizma Zadarske županije</w:t>
      </w:r>
    </w:p>
    <w:p w14:paraId="2127366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TZZŽ, TZO Sali, subjekti javnog i privatnog sektora</w:t>
      </w:r>
    </w:p>
    <w:p w14:paraId="3F0636DD">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Iznos potreban za realizaciju aktivnosti:</w:t>
      </w:r>
      <w:r>
        <w:rPr>
          <w:rFonts w:eastAsiaTheme="minorHAnsi"/>
          <w:color w:val="000000" w:themeColor="text1"/>
          <w:lang w:eastAsia="en-US"/>
          <w14:textFill>
            <w14:solidFill>
              <w14:schemeClr w14:val="tx1"/>
            </w14:solidFill>
          </w14:textFill>
        </w:rPr>
        <w:t xml:space="preserve"> 0,00 </w:t>
      </w:r>
      <w:r>
        <w:rPr>
          <w:rFonts w:hint="default" w:eastAsiaTheme="minorHAnsi"/>
          <w:color w:val="000000" w:themeColor="text1"/>
          <w:lang w:val="hr-HR" w:eastAsia="en-US"/>
          <w14:textFill>
            <w14:solidFill>
              <w14:schemeClr w14:val="tx1"/>
            </w14:solidFill>
          </w14:textFill>
        </w:rPr>
        <w:t>eura</w:t>
      </w:r>
    </w:p>
    <w:p w14:paraId="686AA43D">
      <w:pPr>
        <w:autoSpaceDE w:val="0"/>
        <w:autoSpaceDN w:val="0"/>
        <w:adjustRightInd w:val="0"/>
        <w:rPr>
          <w:b/>
        </w:rPr>
      </w:pPr>
      <w:r>
        <w:rPr>
          <w:rFonts w:eastAsiaTheme="minorHAnsi"/>
          <w:b/>
          <w:color w:val="000000" w:themeColor="text1"/>
          <w:lang w:eastAsia="en-US"/>
          <w14:textFill>
            <w14:solidFill>
              <w14:schemeClr w14:val="tx1"/>
            </w14:solidFill>
          </w14:textFill>
        </w:rPr>
        <w:t>Rokovi realizacije aktivnosti:</w:t>
      </w:r>
      <w:r>
        <w:rPr>
          <w:rFonts w:eastAsiaTheme="minorHAnsi"/>
          <w:color w:val="000000" w:themeColor="text1"/>
          <w:lang w:eastAsia="en-US"/>
          <w14:textFill>
            <w14:solidFill>
              <w14:schemeClr w14:val="tx1"/>
            </w14:solidFill>
          </w14:textFill>
        </w:rPr>
        <w:t xml:space="preserve"> 202</w:t>
      </w:r>
      <w:r>
        <w:rPr>
          <w:rFonts w:hint="default" w:eastAsiaTheme="minorHAnsi"/>
          <w:color w:val="000000" w:themeColor="text1"/>
          <w:lang w:val="hr-HR" w:eastAsia="en-US"/>
          <w14:textFill>
            <w14:solidFill>
              <w14:schemeClr w14:val="tx1"/>
            </w14:solidFill>
          </w14:textFill>
        </w:rPr>
        <w:t>5</w:t>
      </w:r>
      <w:r>
        <w:rPr>
          <w:rFonts w:eastAsiaTheme="minorHAnsi"/>
          <w:color w:val="000000" w:themeColor="text1"/>
          <w:lang w:eastAsia="en-US"/>
          <w14:textFill>
            <w14:solidFill>
              <w14:schemeClr w14:val="tx1"/>
            </w14:solidFill>
          </w14:textFill>
        </w:rPr>
        <w:t>.</w:t>
      </w:r>
    </w:p>
    <w:p w14:paraId="3399ABD8">
      <w:pPr>
        <w:autoSpaceDE w:val="0"/>
        <w:autoSpaceDN w:val="0"/>
        <w:adjustRightInd w:val="0"/>
        <w:rPr>
          <w:b/>
        </w:rPr>
      </w:pPr>
      <w:r>
        <w:rPr>
          <w:b/>
        </w:rPr>
        <w:t>Projekt razvoja eno-gastro turizma</w:t>
      </w:r>
    </w:p>
    <w:p w14:paraId="7E923E5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TZZŽ pokrenula je projekt razvoja eno-gastro turizma u koji se planiramo uključiti na lokalnom nivou. Kroz projekt potičemo: posluživanje autohtonih jela i pića, korištenje lokalno uzgojenih namirnica/dobara, povezivanje proizvođača i pružatelja usluga.</w:t>
      </w:r>
    </w:p>
    <w:p w14:paraId="4941D065">
      <w:pPr>
        <w:autoSpaceDE w:val="0"/>
        <w:autoSpaceDN w:val="0"/>
        <w:adjustRightInd w:val="0"/>
      </w:pPr>
      <w:r>
        <w:rPr>
          <w:b/>
        </w:rPr>
        <w:t xml:space="preserve">Cilj aktivnosti: </w:t>
      </w:r>
      <w:r>
        <w:t>Razvoj turističkog proizvoda koji je sezonski neosjetljiv, ojačati ponudu drugih turističkih proizvoda, osigurati prednosti i za proizvođače i za ugostitelje.</w:t>
      </w:r>
    </w:p>
    <w:p w14:paraId="2512677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TZZŽ, TZO Sali, subjekti javnog i privatnog sektora</w:t>
      </w:r>
    </w:p>
    <w:p w14:paraId="53B9FD49">
      <w:pPr>
        <w:autoSpaceDE w:val="0"/>
        <w:autoSpaceDN w:val="0"/>
        <w:adjustRightInd w:val="0"/>
        <w:rPr>
          <w:rFonts w:hint="default" w:eastAsiaTheme="minorHAnsi"/>
          <w:bCs/>
          <w:lang w:val="hr-HR"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0,00 </w:t>
      </w:r>
      <w:r>
        <w:rPr>
          <w:rFonts w:hint="default" w:eastAsiaTheme="minorHAnsi"/>
          <w:color w:val="000000" w:themeColor="text1"/>
          <w:lang w:val="hr-HR" w:eastAsia="en-US"/>
          <w14:textFill>
            <w14:solidFill>
              <w14:schemeClr w14:val="tx1"/>
            </w14:solidFill>
          </w14:textFill>
        </w:rPr>
        <w:t>eura</w:t>
      </w:r>
      <w:r>
        <w:rPr>
          <w:rFonts w:eastAsiaTheme="minorHAnsi"/>
          <w:bCs/>
          <w:i/>
          <w:color w:val="FF0000"/>
          <w:lang w:eastAsia="en-US"/>
        </w:rPr>
        <w:tab/>
      </w:r>
      <w:r>
        <w:rPr>
          <w:rFonts w:eastAsiaTheme="minorHAnsi"/>
          <w:bCs/>
          <w:i/>
          <w:color w:val="FF0000"/>
          <w:lang w:eastAsia="en-US"/>
        </w:rPr>
        <w:tab/>
      </w:r>
      <w:r>
        <w:rPr>
          <w:rFonts w:eastAsiaTheme="minorHAnsi"/>
          <w:b/>
          <w:bCs/>
          <w:lang w:eastAsia="en-US"/>
        </w:rPr>
        <w:t xml:space="preserve">Ostvareno: </w:t>
      </w:r>
      <w:r>
        <w:rPr>
          <w:rFonts w:eastAsiaTheme="minorHAnsi"/>
          <w:bCs/>
          <w:lang w:eastAsia="en-US"/>
        </w:rPr>
        <w:t xml:space="preserve">0,00 </w:t>
      </w:r>
      <w:r>
        <w:rPr>
          <w:rFonts w:hint="default" w:eastAsiaTheme="minorHAnsi"/>
          <w:bCs/>
          <w:lang w:val="hr-HR" w:eastAsia="en-US"/>
        </w:rPr>
        <w:t>eura</w:t>
      </w:r>
    </w:p>
    <w:p w14:paraId="455E986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Rokovi realizacije aktivnosti:</w:t>
      </w:r>
      <w:r>
        <w:rPr>
          <w:rFonts w:eastAsiaTheme="minorHAnsi"/>
          <w:color w:val="000000" w:themeColor="text1"/>
          <w:lang w:eastAsia="en-US"/>
          <w14:textFill>
            <w14:solidFill>
              <w14:schemeClr w14:val="tx1"/>
            </w14:solidFill>
          </w14:textFill>
        </w:rPr>
        <w:t xml:space="preserve"> 202</w:t>
      </w:r>
      <w:r>
        <w:rPr>
          <w:rFonts w:hint="default" w:eastAsiaTheme="minorHAnsi"/>
          <w:color w:val="000000" w:themeColor="text1"/>
          <w:lang w:val="hr-HR" w:eastAsia="en-US"/>
          <w14:textFill>
            <w14:solidFill>
              <w14:schemeClr w14:val="tx1"/>
            </w14:solidFill>
          </w14:textFill>
        </w:rPr>
        <w:t>5</w:t>
      </w:r>
      <w:r>
        <w:rPr>
          <w:rFonts w:eastAsiaTheme="minorHAnsi"/>
          <w:color w:val="000000" w:themeColor="text1"/>
          <w:lang w:eastAsia="en-US"/>
          <w14:textFill>
            <w14:solidFill>
              <w14:schemeClr w14:val="tx1"/>
            </w14:solidFill>
          </w14:textFill>
        </w:rPr>
        <w:t>.</w:t>
      </w:r>
    </w:p>
    <w:p w14:paraId="2B534875">
      <w:pPr>
        <w:autoSpaceDE w:val="0"/>
        <w:autoSpaceDN w:val="0"/>
        <w:adjustRightInd w:val="0"/>
        <w:rPr>
          <w:rFonts w:eastAsiaTheme="minorHAnsi"/>
          <w:bCs/>
          <w:color w:val="000000" w:themeColor="text1"/>
          <w:lang w:eastAsia="en-US"/>
          <w14:textFill>
            <w14:solidFill>
              <w14:schemeClr w14:val="tx1"/>
            </w14:solidFill>
          </w14:textFill>
        </w:rPr>
      </w:pPr>
    </w:p>
    <w:p w14:paraId="12535CCB">
      <w:pPr>
        <w:autoSpaceDE w:val="0"/>
        <w:autoSpaceDN w:val="0"/>
        <w:adjustRightInd w:val="0"/>
        <w:rPr>
          <w:rFonts w:eastAsiaTheme="minorHAnsi"/>
          <w:b/>
          <w:bCs/>
          <w:color w:val="000000" w:themeColor="text1"/>
          <w:lang w:eastAsia="en-US"/>
          <w14:textFill>
            <w14:solidFill>
              <w14:schemeClr w14:val="tx1"/>
            </w14:solidFill>
          </w14:textFill>
        </w:rPr>
      </w:pPr>
    </w:p>
    <w:p w14:paraId="3B64213A">
      <w:pPr>
        <w:autoSpaceDE w:val="0"/>
        <w:autoSpaceDN w:val="0"/>
        <w:adjustRightInd w:val="0"/>
        <w:rPr>
          <w:rFonts w:eastAsiaTheme="minorHAnsi"/>
          <w:b/>
          <w:bCs/>
          <w:color w:val="000000" w:themeColor="text1"/>
          <w:lang w:eastAsia="en-US"/>
          <w14:textFill>
            <w14:solidFill>
              <w14:schemeClr w14:val="tx1"/>
            </w14:solidFill>
          </w14:textFill>
        </w:rPr>
      </w:pPr>
    </w:p>
    <w:p w14:paraId="3DEC6B3C">
      <w:pPr>
        <w:autoSpaceDE w:val="0"/>
        <w:autoSpaceDN w:val="0"/>
        <w:adjustRightInd w:val="0"/>
        <w:rPr>
          <w:rFonts w:eastAsiaTheme="minorHAnsi"/>
          <w:b/>
          <w:bCs/>
          <w:color w:val="000000" w:themeColor="text1"/>
          <w:lang w:eastAsia="en-US"/>
          <w14:textFill>
            <w14:solidFill>
              <w14:schemeClr w14:val="tx1"/>
            </w14:solidFill>
          </w14:textFill>
        </w:rPr>
      </w:pPr>
    </w:p>
    <w:p w14:paraId="05462EC0">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2.1.3.Razvoj događanja u destinaciji i drugih motiva dolaska u destinaciju za individualne i grupne goste:</w:t>
      </w:r>
    </w:p>
    <w:p w14:paraId="4F50F48D">
      <w:pPr>
        <w:autoSpaceDE w:val="0"/>
        <w:autoSpaceDN w:val="0"/>
        <w:adjustRightInd w:val="0"/>
        <w:rPr>
          <w:rFonts w:eastAsiaTheme="minorHAnsi"/>
          <w:b/>
          <w:bCs/>
          <w:color w:val="000000" w:themeColor="text1"/>
          <w:lang w:eastAsia="en-US"/>
          <w14:textFill>
            <w14:solidFill>
              <w14:schemeClr w14:val="tx1"/>
            </w14:solidFill>
          </w14:textFill>
        </w:rPr>
      </w:pPr>
    </w:p>
    <w:p w14:paraId="6B17FE8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Dugi otok Trail</w:t>
      </w:r>
    </w:p>
    <w:p w14:paraId="45A2E06A">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manifestacije:</w:t>
      </w:r>
    </w:p>
    <w:p w14:paraId="3EEC4B6C">
      <w:pPr>
        <w:autoSpaceDE w:val="0"/>
        <w:autoSpaceDN w:val="0"/>
        <w:adjustRightInd w:val="0"/>
        <w:rPr>
          <w:sz w:val="20"/>
          <w:szCs w:val="20"/>
        </w:rPr>
      </w:pPr>
      <w:r>
        <w:t>Dugi otok Trail je natjecanje u trail trčanju na području Dugog otoka-PP Telašćice koja počinje i završava u mjestu Sali. Utrka sadrži tri kategorije natjecanja prilagođene svim skupinama natjecatelja i posjetitelja (11km,19 km, 25km,40km).Program utrke promovira specifičnost destinacije,tradiciju i kulturu kroz nastup Tovareće mužike i sajma otočkih proizvoda. U svrhu što bolje promocije utrke u planu nam je i ove godine oglašavati</w:t>
      </w:r>
      <w:r>
        <w:rPr>
          <w:sz w:val="20"/>
          <w:szCs w:val="20"/>
        </w:rPr>
        <w:t xml:space="preserve"> manifestaciju.</w:t>
      </w:r>
    </w:p>
    <w:p w14:paraId="7DC68EC9">
      <w:pPr>
        <w:autoSpaceDE w:val="0"/>
        <w:autoSpaceDN w:val="0"/>
        <w:adjustRightInd w:val="0"/>
        <w:rPr>
          <w:b/>
          <w:color w:val="000000"/>
        </w:rPr>
      </w:pPr>
      <w:r>
        <w:rPr>
          <w:rFonts w:eastAsiaTheme="minorHAnsi"/>
          <w:b/>
          <w:bCs/>
          <w:color w:val="000000" w:themeColor="text1"/>
          <w:lang w:eastAsia="en-US"/>
          <w14:textFill>
            <w14:solidFill>
              <w14:schemeClr w14:val="tx1"/>
            </w14:solidFill>
          </w14:textFill>
        </w:rPr>
        <w:t xml:space="preserve">Cilj manifestacije: </w:t>
      </w:r>
    </w:p>
    <w:p w14:paraId="3A309AB3">
      <w:pPr>
        <w:autoSpaceDE w:val="0"/>
        <w:autoSpaceDN w:val="0"/>
        <w:adjustRightInd w:val="0"/>
        <w:rPr>
          <w:rFonts w:eastAsiaTheme="minorHAnsi"/>
          <w:b/>
          <w:color w:val="000000" w:themeColor="text1"/>
          <w:lang w:eastAsia="en-US"/>
          <w14:textFill>
            <w14:solidFill>
              <w14:schemeClr w14:val="tx1"/>
            </w14:solidFill>
          </w14:textFill>
        </w:rPr>
      </w:pPr>
      <w:r>
        <w:t>Promocija aktivnog turizma i sporta, produženje sezone</w:t>
      </w:r>
      <w:r>
        <w:rPr>
          <w:rFonts w:eastAsiaTheme="minorHAnsi"/>
          <w:b/>
          <w:color w:val="000000" w:themeColor="text1"/>
          <w:lang w:eastAsia="en-US"/>
          <w14:textFill>
            <w14:solidFill>
              <w14:schemeClr w14:val="tx1"/>
            </w14:solidFill>
          </w14:textFill>
        </w:rPr>
        <w:t xml:space="preserve"> </w:t>
      </w:r>
    </w:p>
    <w:p w14:paraId="3BAD141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Općina, PP Telašćica, Općina Sali</w:t>
      </w:r>
    </w:p>
    <w:p w14:paraId="3359415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5.000,00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5.000,00 eura</w:t>
      </w:r>
    </w:p>
    <w:p w14:paraId="1304322B">
      <w:pPr>
        <w:autoSpaceDE w:val="0"/>
        <w:autoSpaceDN w:val="0"/>
        <w:adjustRightInd w:val="0"/>
        <w:rPr>
          <w:rFonts w:eastAsiaTheme="minorHAnsi"/>
          <w:b/>
          <w:bCs/>
          <w:color w:val="000000" w:themeColor="text1"/>
          <w:lang w:eastAsia="en-US"/>
          <w14:textFill>
            <w14:solidFill>
              <w14:schemeClr w14:val="tx1"/>
            </w14:solidFill>
          </w14:textFill>
        </w:rPr>
      </w:pPr>
    </w:p>
    <w:p w14:paraId="136C152E">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Dani ljekovitog bilja</w:t>
      </w:r>
    </w:p>
    <w:p w14:paraId="48776B3D">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manifestacije:</w:t>
      </w:r>
    </w:p>
    <w:p w14:paraId="36E6B114">
      <w:pPr>
        <w:autoSpaceDE w:val="0"/>
        <w:autoSpaceDN w:val="0"/>
        <w:adjustRightInd w:val="0"/>
        <w:rPr>
          <w:rStyle w:val="21"/>
        </w:rPr>
      </w:pPr>
      <w:r>
        <w:rPr>
          <w:rStyle w:val="21"/>
        </w:rPr>
        <w:t>Sedmodnevni program koji sadrži upoznavanje sa ljekovitim biljem, gastro doživljaj, upoznavanje sa stazama Dugog otoka, kao i predstavljanje kulturne baštine. U sklopu programa održavaju se radionice, edukacije i obilazak staza u zaštićenim područjima, PP Telašćici i Značajnom krajobrazu SZ dio Dugog otoka.  Dani  završavaju sajmom otočkih proizvoda na kojem je posjetiteljima prezentirana ponuda  otočkih proizvoda, susret klapa i nematerijalna baština (Tovareća mužika i saljsko kolo).</w:t>
      </w:r>
    </w:p>
    <w:p w14:paraId="35C68D0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Cilj manifestacije: </w:t>
      </w:r>
    </w:p>
    <w:p w14:paraId="6C122B37">
      <w:pPr>
        <w:autoSpaceDE w:val="0"/>
        <w:autoSpaceDN w:val="0"/>
        <w:adjustRightInd w:val="0"/>
      </w:pPr>
      <w:r>
        <w:t>Omogućiti posjetiteljima da osjete prave čari upoznavanje otoka kroz okuse i mirise u proljeće, promocija aktivnog odmora, produženje sezone</w:t>
      </w:r>
    </w:p>
    <w:p w14:paraId="1EC6585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hotel Luka, Udruga za očuvanje smilja i ljekovitog bilja, Udruga Tovareća mužika</w:t>
      </w:r>
    </w:p>
    <w:p w14:paraId="16FE7D7A">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5.000,00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5.000,00 eura</w:t>
      </w:r>
    </w:p>
    <w:p w14:paraId="6A4EFBEE">
      <w:pPr>
        <w:autoSpaceDE w:val="0"/>
        <w:autoSpaceDN w:val="0"/>
        <w:adjustRightInd w:val="0"/>
        <w:rPr>
          <w:rFonts w:eastAsiaTheme="minorHAnsi"/>
          <w:b/>
          <w:color w:val="000000" w:themeColor="text1"/>
          <w:lang w:eastAsia="en-US"/>
          <w14:textFill>
            <w14:solidFill>
              <w14:schemeClr w14:val="tx1"/>
            </w14:solidFill>
          </w14:textFill>
        </w:rPr>
      </w:pPr>
    </w:p>
    <w:p w14:paraId="54227BEE">
      <w:pPr>
        <w:autoSpaceDE w:val="0"/>
        <w:autoSpaceDN w:val="0"/>
        <w:adjustRightInd w:val="0"/>
        <w:rPr>
          <w:rFonts w:eastAsiaTheme="minorHAnsi"/>
          <w:b/>
          <w:color w:val="000000" w:themeColor="text1"/>
          <w:lang w:eastAsia="en-US"/>
          <w14:textFill>
            <w14:solidFill>
              <w14:schemeClr w14:val="tx1"/>
            </w14:solidFill>
          </w14:textFill>
        </w:rPr>
      </w:pPr>
    </w:p>
    <w:p w14:paraId="34619681">
      <w:pPr>
        <w:autoSpaceDE w:val="0"/>
        <w:autoSpaceDN w:val="0"/>
        <w:adjustRightInd w:val="0"/>
        <w:rPr>
          <w:rFonts w:eastAsiaTheme="minorHAnsi"/>
          <w:b/>
          <w:color w:val="000000" w:themeColor="text1"/>
          <w:lang w:eastAsia="en-US"/>
          <w14:textFill>
            <w14:solidFill>
              <w14:schemeClr w14:val="tx1"/>
            </w14:solidFill>
          </w14:textFill>
        </w:rPr>
      </w:pPr>
    </w:p>
    <w:p w14:paraId="2CDE9197">
      <w:pPr>
        <w:autoSpaceDE w:val="0"/>
        <w:autoSpaceDN w:val="0"/>
        <w:adjustRightInd w:val="0"/>
        <w:rPr>
          <w:rFonts w:eastAsiaTheme="minorHAnsi"/>
          <w:b/>
          <w:color w:val="000000" w:themeColor="text1"/>
          <w:lang w:eastAsia="en-US"/>
          <w14:textFill>
            <w14:solidFill>
              <w14:schemeClr w14:val="tx1"/>
            </w14:solidFill>
          </w14:textFill>
        </w:rPr>
      </w:pPr>
    </w:p>
    <w:p w14:paraId="26333B94">
      <w:pPr>
        <w:autoSpaceDE w:val="0"/>
        <w:autoSpaceDN w:val="0"/>
        <w:adjustRightInd w:val="0"/>
        <w:rPr>
          <w:rFonts w:eastAsiaTheme="minorHAnsi"/>
          <w:b/>
          <w:color w:val="000000" w:themeColor="text1"/>
          <w:lang w:eastAsia="en-US"/>
          <w14:textFill>
            <w14:solidFill>
              <w14:schemeClr w14:val="tx1"/>
            </w14:solidFill>
          </w14:textFill>
        </w:rPr>
      </w:pPr>
    </w:p>
    <w:p w14:paraId="6DEEFD53">
      <w:pPr>
        <w:autoSpaceDE w:val="0"/>
        <w:autoSpaceDN w:val="0"/>
        <w:adjustRightInd w:val="0"/>
        <w:rPr>
          <w:rFonts w:eastAsiaTheme="minorHAnsi"/>
          <w:b/>
          <w:color w:val="000000" w:themeColor="text1"/>
          <w:lang w:eastAsia="en-US"/>
          <w14:textFill>
            <w14:solidFill>
              <w14:schemeClr w14:val="tx1"/>
            </w14:solidFill>
          </w14:textFill>
        </w:rPr>
      </w:pPr>
    </w:p>
    <w:p w14:paraId="2A40BD92">
      <w:pPr>
        <w:autoSpaceDE w:val="0"/>
        <w:autoSpaceDN w:val="0"/>
        <w:adjustRightInd w:val="0"/>
        <w:rPr>
          <w:rFonts w:eastAsiaTheme="minorHAnsi"/>
          <w:b/>
          <w:color w:val="000000" w:themeColor="text1"/>
          <w:lang w:eastAsia="en-US"/>
          <w14:textFill>
            <w14:solidFill>
              <w14:schemeClr w14:val="tx1"/>
            </w14:solidFill>
          </w14:textFill>
        </w:rPr>
      </w:pPr>
    </w:p>
    <w:p w14:paraId="54C31549">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Saljske užance</w:t>
      </w:r>
    </w:p>
    <w:p w14:paraId="6CE72982">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predstava:</w:t>
      </w:r>
    </w:p>
    <w:p w14:paraId="16279FE6">
      <w:r>
        <w:t>Saljske užance predstavljaju manifestaciju koja će zasigurno prema osobnosti brenda  zadovoljiti kategoriju “uzbudljiva” gdje posjetitelji traže doživljaje kojih će se rado sjećati i doživjeti uzbuđenje vrijedne prepričavanja. Doživjeti će priču o otočnom životu, ribolovu i tradicionalnoj gastronomiji što će svakako opravdati brend zadarske regije kao destinacije koja na relativno malom prostoru nudi širok spektar aktivnosti i gdje mogu doživjeti autentičnu lokalnu povijest i kulturu te se opustiti u gastronomskim blagodatima regije.</w:t>
      </w:r>
    </w:p>
    <w:p w14:paraId="2313A14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manifestacije:</w:t>
      </w:r>
    </w:p>
    <w:p w14:paraId="419DEBC4">
      <w:pPr>
        <w:pStyle w:val="17"/>
        <w:rPr>
          <w:rFonts w:ascii="Times New Roman" w:hAnsi="Times New Roman"/>
          <w:szCs w:val="24"/>
        </w:rPr>
      </w:pPr>
      <w:r>
        <w:rPr>
          <w:rFonts w:ascii="Times New Roman" w:hAnsi="Times New Roman"/>
          <w:szCs w:val="24"/>
        </w:rPr>
        <w:t>Doprinos obogaćivanju turističke ponude destinacije</w:t>
      </w:r>
    </w:p>
    <w:p w14:paraId="68EB751D">
      <w:pPr>
        <w:pStyle w:val="17"/>
        <w:rPr>
          <w:rFonts w:ascii="Times New Roman" w:hAnsi="Times New Roman"/>
          <w:szCs w:val="24"/>
        </w:rPr>
      </w:pPr>
      <w:r>
        <w:rPr>
          <w:rFonts w:ascii="Times New Roman" w:hAnsi="Times New Roman"/>
          <w:szCs w:val="24"/>
        </w:rPr>
        <w:t>Unapređenje turističkog proizvoda destinacije</w:t>
      </w:r>
    </w:p>
    <w:p w14:paraId="6872C9C1">
      <w:pPr>
        <w:pStyle w:val="17"/>
        <w:rPr>
          <w:rFonts w:ascii="Times New Roman" w:hAnsi="Times New Roman"/>
          <w:szCs w:val="24"/>
        </w:rPr>
      </w:pPr>
      <w:r>
        <w:rPr>
          <w:rFonts w:ascii="Times New Roman" w:hAnsi="Times New Roman"/>
          <w:szCs w:val="24"/>
        </w:rPr>
        <w:t>Doprinos očuvanju etnološkog i povijesnog naslijeđa destinacije</w:t>
      </w:r>
    </w:p>
    <w:p w14:paraId="6887724D">
      <w:pPr>
        <w:pStyle w:val="17"/>
        <w:rPr>
          <w:rFonts w:ascii="Times New Roman" w:hAnsi="Times New Roman"/>
          <w:szCs w:val="24"/>
        </w:rPr>
      </w:pPr>
      <w:r>
        <w:rPr>
          <w:rFonts w:ascii="Times New Roman" w:hAnsi="Times New Roman"/>
          <w:szCs w:val="24"/>
        </w:rPr>
        <w:t>Unaprjeđenje prezentacije turističkih resursa destinacije</w:t>
      </w:r>
    </w:p>
    <w:p w14:paraId="1ABBCB3F">
      <w:pPr>
        <w:pStyle w:val="17"/>
        <w:rPr>
          <w:rFonts w:ascii="Times New Roman" w:hAnsi="Times New Roman"/>
          <w:szCs w:val="24"/>
        </w:rPr>
      </w:pPr>
      <w:r>
        <w:rPr>
          <w:rFonts w:ascii="Times New Roman" w:hAnsi="Times New Roman"/>
          <w:szCs w:val="24"/>
        </w:rPr>
        <w:t>Doprinos promociji turizma Hrvatske</w:t>
      </w:r>
    </w:p>
    <w:p w14:paraId="6A525B56">
      <w:pPr>
        <w:pStyle w:val="17"/>
        <w:rPr>
          <w:rFonts w:ascii="Times New Roman" w:hAnsi="Times New Roman"/>
          <w:szCs w:val="24"/>
        </w:rPr>
      </w:pPr>
      <w:r>
        <w:rPr>
          <w:rFonts w:ascii="Times New Roman" w:hAnsi="Times New Roman"/>
          <w:szCs w:val="24"/>
        </w:rPr>
        <w:t>Doprinos povećanju dolazaka posjetitelja i turista u destinaciju</w:t>
      </w:r>
    </w:p>
    <w:p w14:paraId="22D2D0C2">
      <w:pPr>
        <w:pStyle w:val="17"/>
        <w:rPr>
          <w:rFonts w:ascii="Times New Roman" w:hAnsi="Times New Roman"/>
          <w:szCs w:val="24"/>
        </w:rPr>
      </w:pPr>
      <w:r>
        <w:rPr>
          <w:rFonts w:ascii="Times New Roman" w:hAnsi="Times New Roman"/>
          <w:szCs w:val="24"/>
        </w:rPr>
        <w:t>Održavanje i razvijanje tradicionalnih vrijednosti</w:t>
      </w:r>
    </w:p>
    <w:p w14:paraId="53B93129">
      <w:pPr>
        <w:pStyle w:val="17"/>
        <w:rPr>
          <w:rFonts w:ascii="Times New Roman" w:hAnsi="Times New Roman"/>
          <w:szCs w:val="24"/>
        </w:rPr>
      </w:pPr>
      <w:r>
        <w:rPr>
          <w:rFonts w:ascii="Times New Roman" w:hAnsi="Times New Roman"/>
          <w:szCs w:val="24"/>
        </w:rPr>
        <w:t>Doprinos razvoju zabavnih programa destinacije</w:t>
      </w:r>
    </w:p>
    <w:p w14:paraId="6DF28E34">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Općina Sali, PP Telašćica, Udruga Tovareća mužika</w:t>
      </w:r>
    </w:p>
    <w:p w14:paraId="6BF0448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20</w:t>
      </w:r>
      <w:r>
        <w:rPr>
          <w:rFonts w:eastAsiaTheme="minorHAnsi"/>
          <w:i/>
          <w:color w:val="000000" w:themeColor="text1"/>
          <w:lang w:eastAsia="en-US"/>
          <w14:textFill>
            <w14:solidFill>
              <w14:schemeClr w14:val="tx1"/>
            </w14:solidFill>
          </w14:textFill>
        </w:rPr>
        <w:t>.000,00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20</w:t>
      </w:r>
      <w:r>
        <w:rPr>
          <w:rFonts w:eastAsiaTheme="minorHAnsi"/>
          <w:i/>
          <w:color w:val="000000" w:themeColor="text1"/>
          <w:lang w:eastAsia="en-US"/>
          <w14:textFill>
            <w14:solidFill>
              <w14:schemeClr w14:val="tx1"/>
            </w14:solidFill>
          </w14:textFill>
        </w:rPr>
        <w:t>.000,00 eura</w:t>
      </w:r>
    </w:p>
    <w:p w14:paraId="7FEE9E19">
      <w:pPr>
        <w:autoSpaceDE w:val="0"/>
        <w:autoSpaceDN w:val="0"/>
        <w:adjustRightInd w:val="0"/>
        <w:rPr>
          <w:rFonts w:eastAsiaTheme="minorHAnsi"/>
          <w:color w:val="000000" w:themeColor="text1"/>
          <w:lang w:eastAsia="en-US"/>
          <w14:textFill>
            <w14:solidFill>
              <w14:schemeClr w14:val="tx1"/>
            </w14:solidFill>
          </w14:textFill>
        </w:rPr>
      </w:pPr>
    </w:p>
    <w:p w14:paraId="1624997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Triatlon Dugi otok</w:t>
      </w:r>
    </w:p>
    <w:p w14:paraId="076249F5">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predstava:</w:t>
      </w:r>
    </w:p>
    <w:p w14:paraId="0043A1E3">
      <w:pPr>
        <w:jc w:val="both"/>
      </w:pPr>
      <w:r>
        <w:t xml:space="preserve">U svrhu promocije triatlona i Dugog otoka već nekoliko godinu organiziramo natjecanje u Srednje dugom triatlonu. Natjecanje uključuje 1.9 km plivanja na plaži Sakarun, 90 km bicikle na relaciji Sakarun - Sali te 21 km trčanja u Parku prirode Telašćica s ciljem u mjestu Sali. </w:t>
      </w:r>
    </w:p>
    <w:p w14:paraId="744D194D">
      <w:pPr>
        <w:jc w:val="both"/>
        <w:rPr>
          <w:b/>
        </w:rPr>
      </w:pPr>
      <w:r>
        <w:rPr>
          <w:b/>
        </w:rPr>
        <w:t>Cilj manifestacije:</w:t>
      </w:r>
    </w:p>
    <w:p w14:paraId="4CE448F5">
      <w:pPr>
        <w:autoSpaceDE w:val="0"/>
        <w:autoSpaceDN w:val="0"/>
        <w:adjustRightInd w:val="0"/>
        <w:rPr>
          <w:rFonts w:eastAsiaTheme="minorHAnsi"/>
          <w:b/>
          <w:color w:val="000000" w:themeColor="text1"/>
          <w:lang w:eastAsia="en-US"/>
          <w14:textFill>
            <w14:solidFill>
              <w14:schemeClr w14:val="tx1"/>
            </w14:solidFill>
          </w14:textFill>
        </w:rPr>
      </w:pPr>
      <w:r>
        <w:t>Promocija aktivnog turizma i sporta, produženje sezone</w:t>
      </w:r>
      <w:r>
        <w:rPr>
          <w:rFonts w:eastAsiaTheme="minorHAnsi"/>
          <w:b/>
          <w:color w:val="000000" w:themeColor="text1"/>
          <w:lang w:eastAsia="en-US"/>
          <w14:textFill>
            <w14:solidFill>
              <w14:schemeClr w14:val="tx1"/>
            </w14:solidFill>
          </w14:textFill>
        </w:rPr>
        <w:t xml:space="preserve"> </w:t>
      </w:r>
    </w:p>
    <w:p w14:paraId="15E5D017">
      <w:pPr>
        <w:jc w:val="both"/>
      </w:pPr>
      <w:r>
        <w:rPr>
          <w:b/>
        </w:rPr>
        <w:t>Planirano</w:t>
      </w:r>
      <w:r>
        <w:t xml:space="preserve">: </w:t>
      </w:r>
      <w:r>
        <w:rPr>
          <w:rFonts w:hint="default"/>
          <w:lang w:val="hr-HR"/>
        </w:rPr>
        <w:t>20</w:t>
      </w:r>
      <w:r>
        <w:rPr>
          <w:i/>
        </w:rPr>
        <w:t>.000,00 eura</w:t>
      </w:r>
      <w:r>
        <w:rPr>
          <w:i/>
        </w:rPr>
        <w:tab/>
      </w:r>
      <w:r>
        <w:rPr>
          <w:i/>
        </w:rPr>
        <w:tab/>
      </w:r>
      <w:r>
        <w:rPr>
          <w:b/>
        </w:rPr>
        <w:t xml:space="preserve">Ostvareno: </w:t>
      </w:r>
      <w:r>
        <w:rPr>
          <w:rFonts w:hint="default"/>
          <w:b w:val="0"/>
          <w:bCs/>
          <w:lang w:val="hr-HR"/>
        </w:rPr>
        <w:t>20</w:t>
      </w:r>
      <w:r>
        <w:rPr>
          <w:i/>
        </w:rPr>
        <w:t>.000,00 eura</w:t>
      </w:r>
    </w:p>
    <w:p w14:paraId="7C7416F5">
      <w:pPr>
        <w:autoSpaceDE w:val="0"/>
        <w:autoSpaceDN w:val="0"/>
        <w:adjustRightInd w:val="0"/>
        <w:rPr>
          <w:rFonts w:eastAsiaTheme="minorHAnsi"/>
          <w:color w:val="000000" w:themeColor="text1"/>
          <w:lang w:eastAsia="en-US"/>
          <w14:textFill>
            <w14:solidFill>
              <w14:schemeClr w14:val="tx1"/>
            </w14:solidFill>
          </w14:textFill>
        </w:rPr>
      </w:pPr>
    </w:p>
    <w:p w14:paraId="47925B15">
      <w:pPr>
        <w:autoSpaceDE w:val="0"/>
        <w:autoSpaceDN w:val="0"/>
        <w:adjustRightInd w:val="0"/>
        <w:rPr>
          <w:b/>
        </w:rPr>
      </w:pPr>
      <w:r>
        <w:rPr>
          <w:b/>
        </w:rPr>
        <w:t>Ostala događanja</w:t>
      </w:r>
    </w:p>
    <w:p w14:paraId="012154DC">
      <w:r>
        <w:t>U sklopu ostala događanja podrazumijevaju se sva događanja koja TZ organizira u sezoni: kazališne predstave, koncerti, gastronomske večeri i slično, predavanja...</w:t>
      </w:r>
    </w:p>
    <w:p w14:paraId="00E0B148">
      <w:pPr>
        <w:autoSpaceDE w:val="0"/>
        <w:autoSpaceDN w:val="0"/>
        <w:adjustRightInd w:val="0"/>
      </w:pPr>
      <w:r>
        <w:rPr>
          <w:b/>
        </w:rPr>
        <w:t xml:space="preserve">Cilj događanja: </w:t>
      </w:r>
      <w:r>
        <w:t>Cilj događanja je obogatiti ponudu manifestacija i predstavljanje kulturne i gastronomske ponude otoka</w:t>
      </w:r>
    </w:p>
    <w:p w14:paraId="034F03C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događanja:</w:t>
      </w:r>
      <w:r>
        <w:rPr>
          <w:rFonts w:eastAsiaTheme="minorHAnsi"/>
          <w:color w:val="000000" w:themeColor="text1"/>
          <w:lang w:eastAsia="en-US"/>
          <w14:textFill>
            <w14:solidFill>
              <w14:schemeClr w14:val="tx1"/>
            </w14:solidFill>
          </w14:textFill>
        </w:rPr>
        <w:t xml:space="preserve"> TZ</w:t>
      </w:r>
    </w:p>
    <w:p w14:paraId="2E4DA1F1">
      <w:pPr>
        <w:autoSpaceDE w:val="0"/>
        <w:autoSpaceDN w:val="0"/>
        <w:adjustRightInd w:val="0"/>
        <w:rPr>
          <w:i/>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30</w:t>
      </w:r>
      <w:r>
        <w:rPr>
          <w:rFonts w:eastAsiaTheme="minorHAnsi"/>
          <w:b w:val="0"/>
          <w:bCs/>
          <w:i/>
          <w:color w:val="000000" w:themeColor="text1"/>
          <w:lang w:eastAsia="en-US"/>
          <w14:textFill>
            <w14:solidFill>
              <w14:schemeClr w14:val="tx1"/>
            </w14:solidFill>
          </w14:textFill>
        </w:rPr>
        <w:t>.</w:t>
      </w:r>
      <w:r>
        <w:rPr>
          <w:rFonts w:eastAsiaTheme="minorHAnsi"/>
          <w:i/>
          <w:color w:val="000000" w:themeColor="text1"/>
          <w:lang w:eastAsia="en-US"/>
          <w14:textFill>
            <w14:solidFill>
              <w14:schemeClr w14:val="tx1"/>
            </w14:solidFill>
          </w14:textFill>
        </w:rPr>
        <w:t>000,00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30</w:t>
      </w:r>
      <w:r>
        <w:rPr>
          <w:rFonts w:eastAsiaTheme="minorHAnsi"/>
          <w:i/>
          <w:color w:val="000000" w:themeColor="text1"/>
          <w:lang w:eastAsia="en-US"/>
          <w14:textFill>
            <w14:solidFill>
              <w14:schemeClr w14:val="tx1"/>
            </w14:solidFill>
          </w14:textFill>
        </w:rPr>
        <w:t>.000,00 eura</w:t>
      </w:r>
    </w:p>
    <w:p w14:paraId="7F572735">
      <w:pPr>
        <w:autoSpaceDE w:val="0"/>
        <w:autoSpaceDN w:val="0"/>
        <w:adjustRightInd w:val="0"/>
        <w:rPr>
          <w:rFonts w:eastAsiaTheme="minorHAnsi"/>
          <w:color w:val="000000" w:themeColor="text1"/>
          <w:lang w:eastAsia="en-US"/>
          <w14:textFill>
            <w14:solidFill>
              <w14:schemeClr w14:val="tx1"/>
            </w14:solidFill>
          </w14:textFill>
        </w:rPr>
      </w:pPr>
    </w:p>
    <w:p w14:paraId="473598E4">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2.1.4.Razvoj ostalih elemenata turističke ponude s fokusom na cjelogodišnju ponudu destinacije</w:t>
      </w:r>
    </w:p>
    <w:p w14:paraId="54EA214F">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Projekt razvoja tematskih staza i njihova implementacija u projekt TZZŽ </w:t>
      </w:r>
    </w:p>
    <w:p w14:paraId="47FFBC79">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5BB1FA36">
      <w:pPr>
        <w:autoSpaceDE w:val="0"/>
        <w:autoSpaceDN w:val="0"/>
        <w:adjustRightInd w:val="0"/>
        <w:rPr>
          <w:rFonts w:eastAsiaTheme="minorHAnsi"/>
          <w:color w:val="000000" w:themeColor="text1"/>
          <w:lang w:eastAsia="en-US"/>
          <w14:textFill>
            <w14:solidFill>
              <w14:schemeClr w14:val="tx1"/>
            </w14:solidFill>
          </w14:textFill>
        </w:rPr>
      </w:pPr>
      <w:r>
        <w:t xml:space="preserve">Plan je daljnja aktivnost na započetim projektima MTB staza i drugih duž cijelog otoka. Plan je razraditi plan postavljanja znakovi, tekstovi i upute . Projekt se radi u suradnji sa TZZŽ i TZM mjesta Božava, </w:t>
      </w:r>
      <w:r>
        <w:rPr>
          <w:rFonts w:eastAsiaTheme="minorHAnsi"/>
          <w:color w:val="000000" w:themeColor="text1"/>
          <w:lang w:eastAsia="en-US"/>
          <w14:textFill>
            <w14:solidFill>
              <w14:schemeClr w14:val="tx1"/>
            </w14:solidFill>
          </w14:textFill>
        </w:rPr>
        <w:t>a u skladu sa knjigom standarda TZZŽ. Ideje će se uputiti na usklađivanje i odobrenje u TZZŽ.</w:t>
      </w:r>
    </w:p>
    <w:p w14:paraId="1F4E7B9E">
      <w:pPr>
        <w:jc w:val="both"/>
        <w:rPr>
          <w:sz w:val="22"/>
          <w:szCs w:val="22"/>
        </w:rPr>
      </w:pPr>
      <w:r>
        <w:rPr>
          <w:b/>
        </w:rPr>
        <w:t>Cilj aktivnosti:</w:t>
      </w:r>
      <w:r>
        <w:t xml:space="preserve"> Cilj je razvijanje cikloturizma, pješačkog i sl. na ovom području, poticanje na zdrav i aktivan život, produženje turističke sezone.  </w:t>
      </w:r>
    </w:p>
    <w:p w14:paraId="616120E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TZZŽ, TZO Sali, TZM Božava.</w:t>
      </w:r>
    </w:p>
    <w:p w14:paraId="6364245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20.000,00</w:t>
      </w:r>
      <w:r>
        <w:rPr>
          <w:rFonts w:eastAsiaTheme="minorHAnsi"/>
          <w:i/>
          <w:color w:val="000000" w:themeColor="text1"/>
          <w:lang w:eastAsia="en-US"/>
          <w14:textFill>
            <w14:solidFill>
              <w14:schemeClr w14:val="tx1"/>
            </w14:solidFill>
          </w14:textFill>
        </w:rPr>
        <w:t xml:space="preserve"> eura</w:t>
      </w:r>
      <w:r>
        <w:rPr>
          <w:rFonts w:eastAsiaTheme="minorHAnsi"/>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17.700,00</w:t>
      </w:r>
      <w:r>
        <w:rPr>
          <w:rFonts w:eastAsiaTheme="minorHAnsi"/>
          <w:b w:val="0"/>
          <w:bCs/>
          <w: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eura</w:t>
      </w:r>
    </w:p>
    <w:p w14:paraId="2FB1BEAF">
      <w:pPr>
        <w:autoSpaceDE w:val="0"/>
        <w:autoSpaceDN w:val="0"/>
        <w:adjustRightInd w:val="0"/>
        <w:rPr>
          <w:rFonts w:hint="default" w:eastAsiaTheme="minorHAnsi"/>
          <w:b/>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Ove aktivnosti su realiziranu u sklopu Udruženih turističkih zajednica Zadarskog arhipelaga. Aplicirano je na natječaj HTZ-a. Realizirano preko natječaja Udružene</w:t>
      </w:r>
      <w:r>
        <w:rPr>
          <w:rFonts w:hint="default" w:eastAsiaTheme="minorHAnsi"/>
          <w:b/>
          <w:color w:val="000000" w:themeColor="text1"/>
          <w:lang w:val="hr-HR" w:eastAsia="en-US"/>
          <w14:textFill>
            <w14:solidFill>
              <w14:schemeClr w14:val="tx1"/>
            </w14:solidFill>
          </w14:textFill>
        </w:rPr>
        <w:t>.</w:t>
      </w:r>
    </w:p>
    <w:p w14:paraId="488FF2F1">
      <w:pPr>
        <w:autoSpaceDE w:val="0"/>
        <w:autoSpaceDN w:val="0"/>
        <w:adjustRightInd w:val="0"/>
        <w:rPr>
          <w:rFonts w:eastAsiaTheme="minorHAnsi"/>
          <w:bCs/>
          <w:color w:val="000000" w:themeColor="text1"/>
          <w:lang w:eastAsia="en-US"/>
          <w14:textFill>
            <w14:solidFill>
              <w14:schemeClr w14:val="tx1"/>
            </w14:solidFill>
          </w14:textFill>
        </w:rPr>
      </w:pPr>
    </w:p>
    <w:p w14:paraId="51C1C53F">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2.2. Sustavi označavanja kvalitete turističkog proizvoda:</w:t>
      </w:r>
    </w:p>
    <w:p w14:paraId="3A24DA1B">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        - Fokus na turističku industriju:</w:t>
      </w:r>
    </w:p>
    <w:p w14:paraId="7B6A5C04">
      <w:pPr>
        <w:autoSpaceDE w:val="0"/>
        <w:autoSpaceDN w:val="0"/>
        <w:adjustRightInd w:val="0"/>
        <w:rPr>
          <w:rFonts w:eastAsiaTheme="minorHAnsi"/>
          <w:b/>
          <w:bCs/>
          <w:color w:val="000000" w:themeColor="text1"/>
          <w:lang w:eastAsia="en-US"/>
          <w14:textFill>
            <w14:solidFill>
              <w14:schemeClr w14:val="tx1"/>
            </w14:solidFill>
          </w14:textFill>
        </w:rPr>
      </w:pPr>
    </w:p>
    <w:p w14:paraId="60B66571">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2.2.1.</w:t>
      </w:r>
      <w:r>
        <w:rPr>
          <w:rFonts w:eastAsiaTheme="minorHAnsi"/>
          <w:color w:val="000000" w:themeColor="text1"/>
          <w:lang w:eastAsia="en-US"/>
          <w14:textFill>
            <w14:solidFill>
              <w14:schemeClr w14:val="tx1"/>
            </w14:solidFill>
          </w14:textFill>
        </w:rPr>
        <w:t xml:space="preserve"> </w:t>
      </w:r>
      <w:r>
        <w:rPr>
          <w:rFonts w:eastAsiaTheme="minorHAnsi"/>
          <w:b/>
          <w:color w:val="000000" w:themeColor="text1"/>
          <w:lang w:eastAsia="en-US"/>
          <w14:textFill>
            <w14:solidFill>
              <w14:schemeClr w14:val="tx1"/>
            </w14:solidFill>
          </w14:textFill>
        </w:rPr>
        <w:t xml:space="preserve">Označavanje kvalitete, npr. </w:t>
      </w:r>
      <w:r>
        <w:rPr>
          <w:rFonts w:eastAsiaTheme="minorHAnsi"/>
          <w:b/>
          <w:i/>
          <w:iCs/>
          <w:color w:val="000000" w:themeColor="text1"/>
          <w:lang w:eastAsia="en-US"/>
          <w14:textFill>
            <w14:solidFill>
              <w14:schemeClr w14:val="tx1"/>
            </w14:solidFill>
          </w14:textFill>
        </w:rPr>
        <w:t xml:space="preserve">labeling </w:t>
      </w:r>
      <w:r>
        <w:rPr>
          <w:rFonts w:eastAsiaTheme="minorHAnsi"/>
          <w:b/>
          <w:color w:val="000000" w:themeColor="text1"/>
          <w:lang w:eastAsia="en-US"/>
          <w14:textFill>
            <w14:solidFill>
              <w14:schemeClr w14:val="tx1"/>
            </w14:solidFill>
          </w14:textFill>
        </w:rPr>
        <w:t>obiteljskog smještaja i općenito dodjela oznaka kvalitete u koordinaciji s regionalnom turističkom zajednicom</w:t>
      </w:r>
    </w:p>
    <w:p w14:paraId="57BD5B4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127630D6">
      <w:r>
        <w:t>Planira se daljnja aktivnost na projektu označavanja kvalitete (labelling) u obiteljskom smještaju pod brand imenom “Welcome” koji je pokrenula Turistička zajednica Zadarske županije u suradnji sa sustavom lokalnih turističkih zajednica. Riječ je o skupini standarda i mjerila kojima se želi stvoriti nova osnova za povezivanje nositelja obiteljskog smještaja. Radi se o nadopuni postojećeg sustava kategorizacije s ciljem povećanja konkurentnosti i razine kvalitete apartmana, soba i kuća koje se privatno iznajmljuju. Privatni smještaj na ovim prostorima odlikuje briga o gostu, susretljivost, obiteljsko ozračje boravka kod domaćina te lojalnost gostiju koji upravo zbog prethodnih karakteristika spojenih s prirodnim i stvorenim atrakcijama borave generacijama u obiteljskom smještaju Zadarske županije.</w:t>
      </w:r>
    </w:p>
    <w:p w14:paraId="05AEAAAD">
      <w:r>
        <w:rPr>
          <w:b/>
        </w:rPr>
        <w:t>Cilj aktivnosti:</w:t>
      </w:r>
      <w:r>
        <w:t xml:space="preserve"> povećanje konkurentnosti i razine kvalitete apartmana, soba i kuća za odmor</w:t>
      </w:r>
    </w:p>
    <w:p w14:paraId="5B496F0C">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TZZŽ, TZO Sali, nositelji obiteljskog smještaja</w:t>
      </w:r>
    </w:p>
    <w:p w14:paraId="0BF4C88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1.000,00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1.000,00 eura</w:t>
      </w:r>
    </w:p>
    <w:p w14:paraId="5D467990">
      <w:pPr>
        <w:autoSpaceDE w:val="0"/>
        <w:autoSpaceDN w:val="0"/>
        <w:adjustRightInd w:val="0"/>
        <w:rPr>
          <w:rFonts w:eastAsiaTheme="minorHAnsi"/>
          <w:color w:val="000000" w:themeColor="text1"/>
          <w:lang w:eastAsia="en-US"/>
          <w14:textFill>
            <w14:solidFill>
              <w14:schemeClr w14:val="tx1"/>
            </w14:solidFill>
          </w14:textFill>
        </w:rPr>
      </w:pPr>
    </w:p>
    <w:p w14:paraId="68BC2FD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2.2.2.</w:t>
      </w:r>
      <w:r>
        <w:rPr>
          <w:rFonts w:eastAsiaTheme="minorHAnsi"/>
          <w:color w:val="000000" w:themeColor="text1"/>
          <w:lang w:eastAsia="en-US"/>
          <w14:textFill>
            <w14:solidFill>
              <w14:schemeClr w14:val="tx1"/>
            </w14:solidFill>
          </w14:textFill>
        </w:rPr>
        <w:t xml:space="preserve">  </w:t>
      </w:r>
      <w:r>
        <w:rPr>
          <w:rFonts w:eastAsiaTheme="minorHAnsi"/>
          <w:b/>
          <w:color w:val="000000" w:themeColor="text1"/>
          <w:lang w:eastAsia="en-US"/>
          <w14:textFill>
            <w14:solidFill>
              <w14:schemeClr w14:val="tx1"/>
            </w14:solidFill>
          </w14:textFill>
        </w:rPr>
        <w:t>Suradnja s renomiranim pružateljima usluga označavanja kvalitete</w:t>
      </w:r>
    </w:p>
    <w:p w14:paraId="732D893A">
      <w:r>
        <w:t>Planira se suradnja s renomiranim pružateljima usluga označavanja kvalitete kao što su Michelin, JRE, GMO, Tripadvisor i ostali.  Dodjela takve oznake kvalitete značajno bi doprinijela promociji cijele destinacije.</w:t>
      </w:r>
    </w:p>
    <w:p w14:paraId="5C688403">
      <w:r>
        <w:rPr>
          <w:b/>
        </w:rPr>
        <w:t xml:space="preserve">Cilj aktivnosti: </w:t>
      </w:r>
      <w:r>
        <w:t>poboljšanje kvalitete pružatelja usluga i</w:t>
      </w:r>
      <w:r>
        <w:rPr>
          <w:b/>
        </w:rPr>
        <w:t xml:space="preserve"> </w:t>
      </w:r>
      <w:r>
        <w:t>promocija destinacije</w:t>
      </w:r>
    </w:p>
    <w:p w14:paraId="7D22F037">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w:t>
      </w:r>
      <w:r>
        <w:t xml:space="preserve"> TZO Sali i pružatelji usluga</w:t>
      </w:r>
    </w:p>
    <w:p w14:paraId="4464A38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0,00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0,00 eura</w:t>
      </w:r>
    </w:p>
    <w:p w14:paraId="30DBB94A"/>
    <w:p w14:paraId="141D8EF0">
      <w:pPr>
        <w:autoSpaceDE w:val="0"/>
        <w:autoSpaceDN w:val="0"/>
        <w:adjustRightInd w:val="0"/>
        <w:rPr>
          <w:rFonts w:eastAsiaTheme="minorHAnsi"/>
          <w:color w:val="000000" w:themeColor="text1"/>
          <w:lang w:eastAsia="en-US"/>
          <w14:textFill>
            <w14:solidFill>
              <w14:schemeClr w14:val="tx1"/>
            </w14:solidFill>
          </w14:textFill>
        </w:rPr>
      </w:pPr>
    </w:p>
    <w:p w14:paraId="08CD49D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2.2.3.</w:t>
      </w:r>
      <w:r>
        <w:rPr>
          <w:rFonts w:eastAsiaTheme="minorHAnsi"/>
          <w:color w:val="000000" w:themeColor="text1"/>
          <w:lang w:eastAsia="en-US"/>
          <w14:textFill>
            <w14:solidFill>
              <w14:schemeClr w14:val="tx1"/>
            </w14:solidFill>
          </w14:textFill>
        </w:rPr>
        <w:t xml:space="preserve"> </w:t>
      </w:r>
      <w:r>
        <w:rPr>
          <w:rFonts w:eastAsiaTheme="minorHAnsi"/>
          <w:b/>
          <w:color w:val="000000" w:themeColor="text1"/>
          <w:lang w:eastAsia="en-US"/>
          <w14:textFill>
            <w14:solidFill>
              <w14:schemeClr w14:val="tx1"/>
            </w14:solidFill>
          </w14:textFill>
        </w:rPr>
        <w:t>Suradnja s predstavnicima turističke ponude po proizvodima radi podizanja kvalitete ponude u destinaciji (suradnja s ugostiteljima, hotelijerima itd.)</w:t>
      </w:r>
    </w:p>
    <w:p w14:paraId="0FBCE7CF">
      <w:r>
        <w:t xml:space="preserve">TZO Sali nastavlja  suradnju s predstavnicima turističke ponude u cilju postizanja što kvalitetnije ponude u destinaciji. Sve aktivnosti obavljaju se putem mapa, brošura, web stranice, društvenih mreža samostalno i u suradnji s Turističkom zajednicom Zadarske županije i Hrvatskom turističkom zajednicom.  </w:t>
      </w:r>
    </w:p>
    <w:p w14:paraId="6EB43D29">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p>
    <w:p w14:paraId="03B37E63">
      <w:pPr>
        <w:autoSpaceDE w:val="0"/>
        <w:autoSpaceDN w:val="0"/>
        <w:adjustRightInd w:val="0"/>
        <w:rPr>
          <w:rFonts w:eastAsiaTheme="minorHAnsi"/>
          <w:b/>
          <w:color w:val="000000" w:themeColor="text1"/>
          <w:lang w:eastAsia="en-US"/>
          <w14:textFill>
            <w14:solidFill>
              <w14:schemeClr w14:val="tx1"/>
            </w14:solidFill>
          </w14:textFill>
        </w:rPr>
      </w:pPr>
      <w:r>
        <w:t>podizanje kvalitete ponude u destinaciji</w:t>
      </w:r>
      <w:r>
        <w:rPr>
          <w:rFonts w:eastAsiaTheme="minorHAnsi"/>
          <w:b/>
          <w:color w:val="000000" w:themeColor="text1"/>
          <w:lang w:eastAsia="en-US"/>
          <w14:textFill>
            <w14:solidFill>
              <w14:schemeClr w14:val="tx1"/>
            </w14:solidFill>
          </w14:textFill>
        </w:rPr>
        <w:t xml:space="preserve"> </w:t>
      </w:r>
    </w:p>
    <w:p w14:paraId="11B3E43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TZO Sali, pružatelji usluga.</w:t>
      </w:r>
    </w:p>
    <w:p w14:paraId="758A1428">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0,00 eura</w:t>
      </w:r>
    </w:p>
    <w:p w14:paraId="340B0F7C">
      <w:pPr>
        <w:autoSpaceDE w:val="0"/>
        <w:autoSpaceDN w:val="0"/>
        <w:adjustRightInd w:val="0"/>
        <w:rPr>
          <w:rFonts w:eastAsiaTheme="minorHAnsi"/>
          <w:color w:val="000000" w:themeColor="text1"/>
          <w:lang w:eastAsia="en-US"/>
          <w14:textFill>
            <w14:solidFill>
              <w14:schemeClr w14:val="tx1"/>
            </w14:solidFill>
          </w14:textFill>
        </w:rPr>
      </w:pPr>
    </w:p>
    <w:p w14:paraId="3F33C93C">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2.3. Podrška razvoju turističkih događanja:</w:t>
      </w:r>
    </w:p>
    <w:p w14:paraId="4C158C1A">
      <w:pPr>
        <w:autoSpaceDE w:val="0"/>
        <w:autoSpaceDN w:val="0"/>
        <w:adjustRightInd w:val="0"/>
        <w:rPr>
          <w:rFonts w:eastAsiaTheme="minorHAnsi"/>
          <w:color w:val="000000" w:themeColor="text1"/>
          <w:lang w:eastAsia="en-US"/>
          <w14:textFill>
            <w14:solidFill>
              <w14:schemeClr w14:val="tx1"/>
            </w14:solidFill>
          </w14:textFill>
        </w:rPr>
      </w:pPr>
    </w:p>
    <w:p w14:paraId="7312920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2.3.1. Organizacija i suorganizacija događanja, kulturno-zabavnih, sportskih i s. manifestacija u destinaciji</w:t>
      </w:r>
    </w:p>
    <w:p w14:paraId="3916BD12">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Manifestacije kojima je turistička zajednica suorganizator (regata, ekološke akcije...)</w:t>
      </w:r>
    </w:p>
    <w:p w14:paraId="0FE174C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manifestacije:</w:t>
      </w:r>
    </w:p>
    <w:p w14:paraId="43934EC4">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Cs/>
          <w:color w:val="000000" w:themeColor="text1"/>
          <w:lang w:eastAsia="en-US"/>
          <w14:textFill>
            <w14:solidFill>
              <w14:schemeClr w14:val="tx1"/>
            </w14:solidFill>
          </w14:textFill>
        </w:rPr>
        <w:t>Turistička zajednica podupire razne manifestacije kao suorganizator već dugi niz godina. Svojom financijskom potporom kao i tehničkom podrškom (ustupanjem pozornice, šatora, stolova...) omogućuje da se manifestacije organizirane od drugih subjekata realiziraju i na taj način doprinesu turističkoj ponudi.</w:t>
      </w:r>
      <w:r>
        <w:rPr>
          <w:rFonts w:eastAsiaTheme="minorHAnsi"/>
          <w:b/>
          <w:bCs/>
          <w:color w:val="000000" w:themeColor="text1"/>
          <w:lang w:eastAsia="en-US"/>
          <w14:textFill>
            <w14:solidFill>
              <w14:schemeClr w14:val="tx1"/>
            </w14:solidFill>
          </w14:textFill>
        </w:rPr>
        <w:t xml:space="preserve"> </w:t>
      </w:r>
    </w:p>
    <w:p w14:paraId="0763C4B8">
      <w:pPr>
        <w:autoSpaceDE w:val="0"/>
        <w:autoSpaceDN w:val="0"/>
        <w:adjustRightInd w:val="0"/>
        <w:rPr>
          <w:rFonts w:eastAsiaTheme="minorHAnsi"/>
          <w:b/>
          <w:bCs/>
          <w:color w:val="000000" w:themeColor="text1"/>
          <w:lang w:eastAsia="en-US"/>
          <w14:textFill>
            <w14:solidFill>
              <w14:schemeClr w14:val="tx1"/>
            </w14:solidFill>
          </w14:textFill>
        </w:rPr>
      </w:pPr>
    </w:p>
    <w:p w14:paraId="7A8BFEB2">
      <w:pPr>
        <w:autoSpaceDE w:val="0"/>
        <w:autoSpaceDN w:val="0"/>
        <w:adjustRightInd w:val="0"/>
        <w:rPr>
          <w:rFonts w:eastAsiaTheme="minorHAnsi"/>
          <w:b/>
          <w:bCs/>
          <w:color w:val="000000" w:themeColor="text1"/>
          <w:lang w:eastAsia="en-US"/>
          <w14:textFill>
            <w14:solidFill>
              <w14:schemeClr w14:val="tx1"/>
            </w14:solidFill>
          </w14:textFill>
        </w:rPr>
      </w:pPr>
    </w:p>
    <w:p w14:paraId="2C476788">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Cilj manifestacije: </w:t>
      </w:r>
    </w:p>
    <w:p w14:paraId="660B4269">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Cs/>
          <w:color w:val="000000" w:themeColor="text1"/>
          <w:lang w:eastAsia="en-US"/>
          <w14:textFill>
            <w14:solidFill>
              <w14:schemeClr w14:val="tx1"/>
            </w14:solidFill>
          </w14:textFill>
        </w:rPr>
        <w:t xml:space="preserve">Cilj manifestacije je doprinos razvoju turističke ponude, prezentacija kulturne i prirodne baštine, te promocija aktivnog i rekreacijskog odmora. </w:t>
      </w:r>
    </w:p>
    <w:p w14:paraId="6B37E4BB">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 aktivnosti i partneri: </w:t>
      </w:r>
      <w:r>
        <w:rPr>
          <w:rFonts w:eastAsiaTheme="minorHAnsi"/>
          <w:bCs/>
          <w:color w:val="000000" w:themeColor="text1"/>
          <w:lang w:eastAsia="en-US"/>
          <w14:textFill>
            <w14:solidFill>
              <w14:schemeClr w14:val="tx1"/>
            </w14:solidFill>
          </w14:textFill>
        </w:rPr>
        <w:t>JK Guc, Knjižnica sali, Općina Sali, PP Telašćica, TZO sali</w:t>
      </w:r>
    </w:p>
    <w:p w14:paraId="0A7B767E">
      <w:pPr>
        <w:autoSpaceDE w:val="0"/>
        <w:autoSpaceDN w:val="0"/>
        <w:adjustRightInd w:val="0"/>
        <w:rPr>
          <w:rFonts w:eastAsiaTheme="minorHAnsi"/>
          <w:i/>
          <w:lang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8.000,00</w:t>
      </w:r>
      <w:r>
        <w:rPr>
          <w:rFonts w:eastAsiaTheme="minorHAnsi"/>
          <w:i/>
          <w:color w:val="000000" w:themeColor="text1"/>
          <w:lang w:eastAsia="en-US"/>
          <w14:textFill>
            <w14:solidFill>
              <w14:schemeClr w14:val="tx1"/>
            </w14:solidFill>
          </w14:textFill>
        </w:rPr>
        <w:t xml:space="preserve"> eura </w:t>
      </w:r>
      <w:r>
        <w:rPr>
          <w:rFonts w:eastAsiaTheme="minorHAnsi"/>
          <w:i/>
          <w:color w:val="FF0000"/>
          <w:lang w:eastAsia="en-US"/>
        </w:rPr>
        <w:tab/>
      </w:r>
      <w:r>
        <w:rPr>
          <w:rFonts w:eastAsiaTheme="minorHAnsi"/>
          <w:i/>
          <w:color w:val="FF0000"/>
          <w:lang w:eastAsia="en-US"/>
        </w:rPr>
        <w:tab/>
      </w:r>
      <w:r>
        <w:rPr>
          <w:rFonts w:eastAsiaTheme="minorHAnsi"/>
          <w:b/>
          <w:lang w:eastAsia="en-US"/>
        </w:rPr>
        <w:t>Ostvareno:</w:t>
      </w:r>
      <w:r>
        <w:rPr>
          <w:rFonts w:eastAsiaTheme="minorHAnsi"/>
          <w:i/>
          <w:lang w:eastAsia="en-US"/>
        </w:rPr>
        <w:t xml:space="preserve"> </w:t>
      </w:r>
      <w:r>
        <w:rPr>
          <w:rFonts w:hint="default" w:eastAsiaTheme="minorHAnsi"/>
          <w:i/>
          <w:lang w:val="hr-HR" w:eastAsia="en-US"/>
        </w:rPr>
        <w:t>8.000,00</w:t>
      </w:r>
      <w:r>
        <w:rPr>
          <w:rFonts w:eastAsiaTheme="minorHAnsi"/>
          <w:i/>
          <w:lang w:eastAsia="en-US"/>
        </w:rPr>
        <w:t xml:space="preserve"> eura</w:t>
      </w:r>
    </w:p>
    <w:p w14:paraId="71BF031B">
      <w:pPr>
        <w:autoSpaceDE w:val="0"/>
        <w:autoSpaceDN w:val="0"/>
        <w:adjustRightInd w:val="0"/>
        <w:rPr>
          <w:rFonts w:eastAsiaTheme="minorHAnsi"/>
          <w:color w:val="000000" w:themeColor="text1"/>
          <w:lang w:eastAsia="en-US"/>
          <w14:textFill>
            <w14:solidFill>
              <w14:schemeClr w14:val="tx1"/>
            </w14:solidFill>
          </w14:textFill>
        </w:rPr>
      </w:pPr>
    </w:p>
    <w:p w14:paraId="2419BA27">
      <w:pPr>
        <w:autoSpaceDE w:val="0"/>
        <w:autoSpaceDN w:val="0"/>
        <w:adjustRightInd w:val="0"/>
        <w:rPr>
          <w:rFonts w:eastAsiaTheme="minorHAnsi"/>
          <w:color w:val="000000" w:themeColor="text1"/>
          <w:lang w:eastAsia="en-US"/>
          <w14:textFill>
            <w14:solidFill>
              <w14:schemeClr w14:val="tx1"/>
            </w14:solidFill>
          </w14:textFill>
        </w:rPr>
      </w:pPr>
    </w:p>
    <w:p w14:paraId="09106BB1">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2.3.2. Sufinanciranje manifestacija u organizaciji drugih subjekata koje su od značaja za razvoj, promociju i učinkovito turističko i gospodarsko pozicioniranje destinacije</w:t>
      </w:r>
    </w:p>
    <w:p w14:paraId="0D329873">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manifestacije:</w:t>
      </w:r>
    </w:p>
    <w:p w14:paraId="47B13F0B">
      <w:r>
        <w:t>TZO Sali podupire razne manifestacije u organizaciji drugih subjekata, a koje doprinose razvoju, promociji, prezentaciji destinacije.</w:t>
      </w:r>
    </w:p>
    <w:p w14:paraId="5AFDB41C">
      <w:pPr>
        <w:pStyle w:val="17"/>
        <w:rPr>
          <w:rFonts w:ascii="Times New Roman" w:hAnsi="Times New Roman" w:cs="Times New Roman"/>
          <w:b/>
          <w:sz w:val="24"/>
          <w:szCs w:val="24"/>
        </w:rPr>
      </w:pPr>
      <w:r>
        <w:rPr>
          <w:rFonts w:ascii="Times New Roman" w:hAnsi="Times New Roman" w:cs="Times New Roman"/>
          <w:b/>
          <w:sz w:val="24"/>
          <w:szCs w:val="24"/>
        </w:rPr>
        <w:t>Cilj manifestacije:</w:t>
      </w:r>
    </w:p>
    <w:p w14:paraId="0E5B6F0D">
      <w:pPr>
        <w:autoSpaceDE w:val="0"/>
        <w:autoSpaceDN w:val="0"/>
        <w:adjustRightInd w:val="0"/>
      </w:pPr>
      <w:r>
        <w:t>Cilj manifestacija je upoznati posjetitelje sa starim običajima, ponudom tradicijskih jela, promocija sportskih aktivnosti i sl. Kao i</w:t>
      </w:r>
      <w:r>
        <w:rPr>
          <w:rFonts w:eastAsiaTheme="minorHAnsi"/>
          <w:color w:val="000000" w:themeColor="text1"/>
          <w:lang w:eastAsia="en-US"/>
          <w14:textFill>
            <w14:solidFill>
              <w14:schemeClr w14:val="tx1"/>
            </w14:solidFill>
          </w14:textFill>
        </w:rPr>
        <w:t xml:space="preserve"> potaknuti udruge na organizaciju manifestacija, kako bi imali što veću ponudu istih. </w:t>
      </w:r>
    </w:p>
    <w:p w14:paraId="4033348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 aktivnosti i partneri: </w:t>
      </w:r>
      <w:r>
        <w:rPr>
          <w:rFonts w:eastAsiaTheme="minorHAnsi"/>
          <w:color w:val="000000" w:themeColor="text1"/>
          <w:lang w:eastAsia="en-US"/>
          <w14:textFill>
            <w14:solidFill>
              <w14:schemeClr w14:val="tx1"/>
            </w14:solidFill>
          </w14:textFill>
        </w:rPr>
        <w:t>KUD Sali, Mjesni odbori, Udruge mladih, TZ,</w:t>
      </w:r>
      <w:r>
        <w:rPr>
          <w:rFonts w:eastAsiaTheme="minorHAnsi"/>
          <w:b/>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Općina</w:t>
      </w:r>
    </w:p>
    <w:p w14:paraId="57292496">
      <w:pPr>
        <w:autoSpaceDE w:val="0"/>
        <w:autoSpaceDN w:val="0"/>
        <w:adjustRightInd w:val="0"/>
        <w:rPr>
          <w:rFonts w:eastAsiaTheme="minorHAnsi"/>
          <w:i/>
          <w:lang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20</w:t>
      </w:r>
      <w:r>
        <w:rPr>
          <w:rFonts w:hint="default" w:eastAsiaTheme="minorHAnsi"/>
          <w:i/>
          <w:color w:val="000000" w:themeColor="text1"/>
          <w:lang w:val="hr-HR" w:eastAsia="en-US"/>
          <w14:textFill>
            <w14:solidFill>
              <w14:schemeClr w14:val="tx1"/>
            </w14:solidFill>
          </w14:textFill>
        </w:rPr>
        <w:t>.000,00</w:t>
      </w:r>
      <w:r>
        <w:rPr>
          <w:rFonts w:eastAsiaTheme="minorHAnsi"/>
          <w:i/>
          <w:color w:val="000000" w:themeColor="text1"/>
          <w:lang w:eastAsia="en-US"/>
          <w14:textFill>
            <w14:solidFill>
              <w14:schemeClr w14:val="tx1"/>
            </w14:solidFill>
          </w14:textFill>
        </w:rPr>
        <w:t xml:space="preserve"> eura </w:t>
      </w:r>
      <w:r>
        <w:rPr>
          <w:rFonts w:eastAsiaTheme="minorHAnsi"/>
          <w:i/>
          <w:color w:val="FF0000"/>
          <w:lang w:eastAsia="en-US"/>
        </w:rPr>
        <w:tab/>
      </w:r>
      <w:r>
        <w:rPr>
          <w:rFonts w:eastAsiaTheme="minorHAnsi"/>
          <w:i/>
          <w:color w:val="FF0000"/>
          <w:lang w:eastAsia="en-US"/>
        </w:rPr>
        <w:tab/>
      </w:r>
      <w:r>
        <w:rPr>
          <w:rFonts w:eastAsiaTheme="minorHAnsi"/>
          <w:b/>
          <w:lang w:eastAsia="en-US"/>
        </w:rPr>
        <w:t xml:space="preserve">Ostvareno: </w:t>
      </w:r>
      <w:r>
        <w:rPr>
          <w:rFonts w:hint="default" w:eastAsiaTheme="minorHAnsi"/>
          <w:b w:val="0"/>
          <w:bCs/>
          <w:lang w:val="hr-HR" w:eastAsia="en-US"/>
        </w:rPr>
        <w:t>20.000,00</w:t>
      </w:r>
      <w:r>
        <w:rPr>
          <w:rFonts w:eastAsiaTheme="minorHAnsi"/>
          <w:i/>
          <w:lang w:eastAsia="en-US"/>
        </w:rPr>
        <w:t xml:space="preserve"> eura</w:t>
      </w:r>
    </w:p>
    <w:p w14:paraId="02D99D2A">
      <w:pPr>
        <w:autoSpaceDE w:val="0"/>
        <w:autoSpaceDN w:val="0"/>
        <w:adjustRightInd w:val="0"/>
        <w:rPr>
          <w:rFonts w:eastAsiaTheme="minorHAnsi"/>
          <w:color w:val="000000" w:themeColor="text1"/>
          <w:lang w:eastAsia="en-US"/>
          <w14:textFill>
            <w14:solidFill>
              <w14:schemeClr w14:val="tx1"/>
            </w14:solidFill>
          </w14:textFill>
        </w:rPr>
      </w:pPr>
    </w:p>
    <w:p w14:paraId="0334D5F5">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2.4. Turistička infrastruktura</w:t>
      </w:r>
    </w:p>
    <w:p w14:paraId="63FADB70">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2.4.1. Upravljanje turističkom infrastrukturom danom na upravljanje od strane jedinice lokalne/regionalne samouprave i dr.</w:t>
      </w:r>
    </w:p>
    <w:p w14:paraId="5AFC877D">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color w:val="000000" w:themeColor="text1"/>
          <w:lang w:eastAsia="en-US"/>
          <w14:textFill>
            <w14:solidFill>
              <w14:schemeClr w14:val="tx1"/>
            </w14:solidFill>
          </w14:textFill>
        </w:rPr>
        <w:t>Turistička zajednica nema na raspolaganju turističku infrastrukturu danu na upravljanje od strane lokalne samouprave</w:t>
      </w:r>
      <w:r>
        <w:rPr>
          <w:rFonts w:hint="default" w:eastAsiaTheme="minorHAnsi"/>
          <w:color w:val="000000" w:themeColor="text1"/>
          <w:lang w:val="hr-HR" w:eastAsia="en-US"/>
          <w14:textFill>
            <w14:solidFill>
              <w14:schemeClr w14:val="tx1"/>
            </w14:solidFill>
          </w14:textFill>
        </w:rPr>
        <w:t>, međutim sudjeluje u uređenju infrastrukture.</w:t>
      </w:r>
    </w:p>
    <w:p w14:paraId="6CB2E6C3">
      <w:pPr>
        <w:autoSpaceDE w:val="0"/>
        <w:autoSpaceDN w:val="0"/>
        <w:adjustRightInd w:val="0"/>
        <w:rPr>
          <w:rFonts w:hint="default" w:eastAsiaTheme="minorHAnsi"/>
          <w:b w:val="0"/>
          <w:bCs w:val="0"/>
          <w:color w:val="000000" w:themeColor="text1"/>
          <w:lang w:val="hr-HR" w:eastAsia="en-US"/>
          <w14:textFill>
            <w14:solidFill>
              <w14:schemeClr w14:val="tx1"/>
            </w14:solidFill>
          </w14:textFill>
        </w:rPr>
      </w:pPr>
      <w:r>
        <w:rPr>
          <w:rFonts w:hint="default" w:eastAsiaTheme="minorHAnsi"/>
          <w:b/>
          <w:bCs/>
          <w:color w:val="000000" w:themeColor="text1"/>
          <w:lang w:val="hr-HR" w:eastAsia="en-US"/>
          <w14:textFill>
            <w14:solidFill>
              <w14:schemeClr w14:val="tx1"/>
            </w14:solidFill>
          </w14:textFill>
        </w:rPr>
        <w:t xml:space="preserve">Planirano: </w:t>
      </w:r>
      <w:r>
        <w:rPr>
          <w:rFonts w:hint="default" w:eastAsiaTheme="minorHAnsi"/>
          <w:b w:val="0"/>
          <w:bCs w:val="0"/>
          <w:color w:val="000000" w:themeColor="text1"/>
          <w:lang w:val="hr-HR" w:eastAsia="en-US"/>
          <w14:textFill>
            <w14:solidFill>
              <w14:schemeClr w14:val="tx1"/>
            </w14:solidFill>
          </w14:textFill>
        </w:rPr>
        <w:t>5.000,00 eura</w:t>
      </w:r>
      <w:r>
        <w:rPr>
          <w:rFonts w:hint="default" w:eastAsiaTheme="minorHAnsi"/>
          <w:b/>
          <w:bCs/>
          <w:color w:val="000000" w:themeColor="text1"/>
          <w:lang w:val="hr-HR" w:eastAsia="en-US"/>
          <w14:textFill>
            <w14:solidFill>
              <w14:schemeClr w14:val="tx1"/>
            </w14:solidFill>
          </w14:textFill>
        </w:rPr>
        <w:tab/>
      </w:r>
      <w:r>
        <w:rPr>
          <w:rFonts w:hint="default" w:eastAsiaTheme="minorHAnsi"/>
          <w:b/>
          <w:bCs/>
          <w:color w:val="000000" w:themeColor="text1"/>
          <w:lang w:val="hr-HR" w:eastAsia="en-US"/>
          <w14:textFill>
            <w14:solidFill>
              <w14:schemeClr w14:val="tx1"/>
            </w14:solidFill>
          </w14:textFill>
        </w:rPr>
        <w:tab/>
      </w:r>
      <w:r>
        <w:rPr>
          <w:rFonts w:hint="default" w:eastAsiaTheme="minorHAnsi"/>
          <w:b/>
          <w:bCs/>
          <w:color w:val="000000" w:themeColor="text1"/>
          <w:lang w:val="hr-HR" w:eastAsia="en-US"/>
          <w14:textFill>
            <w14:solidFill>
              <w14:schemeClr w14:val="tx1"/>
            </w14:solidFill>
          </w14:textFill>
        </w:rPr>
        <w:t xml:space="preserve">Realizirano: </w:t>
      </w:r>
      <w:r>
        <w:rPr>
          <w:rFonts w:hint="default" w:eastAsiaTheme="minorHAnsi"/>
          <w:b w:val="0"/>
          <w:bCs w:val="0"/>
          <w:color w:val="000000" w:themeColor="text1"/>
          <w:lang w:val="hr-HR" w:eastAsia="en-US"/>
          <w14:textFill>
            <w14:solidFill>
              <w14:schemeClr w14:val="tx1"/>
            </w14:solidFill>
          </w14:textFill>
        </w:rPr>
        <w:t>5.000,00 eura</w:t>
      </w:r>
    </w:p>
    <w:p w14:paraId="623AF185">
      <w:pPr>
        <w:autoSpaceDE w:val="0"/>
        <w:autoSpaceDN w:val="0"/>
        <w:adjustRightInd w:val="0"/>
        <w:rPr>
          <w:rFonts w:eastAsiaTheme="minorHAnsi"/>
          <w:b/>
          <w:color w:val="000000" w:themeColor="text1"/>
          <w:lang w:eastAsia="en-US"/>
          <w14:textFill>
            <w14:solidFill>
              <w14:schemeClr w14:val="tx1"/>
            </w14:solidFill>
          </w14:textFill>
        </w:rPr>
      </w:pPr>
    </w:p>
    <w:p w14:paraId="74FC29F8">
      <w:pPr>
        <w:autoSpaceDE w:val="0"/>
        <w:autoSpaceDN w:val="0"/>
        <w:adjustRightInd w:val="0"/>
        <w:rPr>
          <w:rFonts w:eastAsiaTheme="minorHAnsi"/>
          <w:b/>
          <w:color w:val="000000" w:themeColor="text1"/>
          <w:lang w:eastAsia="en-US"/>
          <w14:textFill>
            <w14:solidFill>
              <w14:schemeClr w14:val="tx1"/>
            </w14:solidFill>
          </w14:textFill>
        </w:rPr>
      </w:pPr>
    </w:p>
    <w:p w14:paraId="102D44FD">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2.5. Podrška turističkoj industriji:</w:t>
      </w:r>
    </w:p>
    <w:p w14:paraId="54A8AFDD">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2.5.1.Podrška subjektima u svrhu razvoja programa povezanih neposredno s turističkim proizvodom</w:t>
      </w:r>
    </w:p>
    <w:p w14:paraId="279AAB0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2F4AADE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poduprijet će određene subjekte u cilju razvoja turističkog proizvoda.</w:t>
      </w:r>
    </w:p>
    <w:p w14:paraId="67BB52CE">
      <w:pPr>
        <w:jc w:val="both"/>
      </w:pPr>
      <w:r>
        <w:t xml:space="preserve">Financijski će se poduprijeti subjekti koji će razvijati programe koji su neposredno povezani s turističkim proizvodom u destinaciji. Riječ je o različitim spotovima, literaturi i svemu ostalom što će se odvijati u destinaciji ili promovirati isti. </w:t>
      </w:r>
    </w:p>
    <w:p w14:paraId="3E5BE1A4">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Unapređenje razvoja i kvalitetna promocije destinacije.</w:t>
      </w:r>
    </w:p>
    <w:p w14:paraId="33B4EBA7">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w:t>
      </w:r>
      <w:r>
        <w:rPr>
          <w:rFonts w:eastAsiaTheme="minorHAnsi"/>
          <w:color w:val="000000" w:themeColor="text1"/>
          <w:lang w:eastAsia="en-US"/>
          <w14:textFill>
            <w14:solidFill>
              <w14:schemeClr w14:val="tx1"/>
            </w14:solidFill>
          </w14:textFill>
        </w:rPr>
        <w:t>TZO Sali</w:t>
      </w:r>
    </w:p>
    <w:p w14:paraId="0CC0C615">
      <w:pPr>
        <w:rPr>
          <w:rFonts w:eastAsiaTheme="minorHAnsi"/>
          <w:b/>
          <w:color w:val="FF0000"/>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0,00 eura</w:t>
      </w:r>
    </w:p>
    <w:p w14:paraId="228CE26B">
      <w:pPr>
        <w:autoSpaceDE w:val="0"/>
        <w:autoSpaceDN w:val="0"/>
        <w:adjustRightInd w:val="0"/>
        <w:rPr>
          <w:rFonts w:eastAsiaTheme="minorHAnsi"/>
          <w:b/>
          <w:bCs/>
          <w:color w:val="000000" w:themeColor="text1"/>
          <w:lang w:eastAsia="en-US"/>
          <w14:textFill>
            <w14:solidFill>
              <w14:schemeClr w14:val="tx1"/>
            </w14:solidFill>
          </w14:textFill>
        </w:rPr>
      </w:pPr>
    </w:p>
    <w:p w14:paraId="3BC38E5C">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2.5.2. Potpore za programe dionika u turističkoj aktivnosti na razini destinacije iz vlastitih sredstava</w:t>
      </w:r>
    </w:p>
    <w:p w14:paraId="30D81802">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1FCBB00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poduprijet će dionike u turističkoj aktivnost koja će pridonijeti razvoju mjesta.</w:t>
      </w:r>
    </w:p>
    <w:p w14:paraId="0FBA23E9">
      <w:pPr>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Potpore Udruzi Tovareća mužika, MNK Drakmar, udruga ŽIL, Udruga Tratur .. za predstavljanje i promociju destinacije.</w:t>
      </w:r>
    </w:p>
    <w:p w14:paraId="784D08B9">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Unapređenje razvoja i promocije mjesta</w:t>
      </w:r>
    </w:p>
    <w:p w14:paraId="55E3CF6D">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w:t>
      </w:r>
    </w:p>
    <w:p w14:paraId="00E88530">
      <w:pPr>
        <w:rPr>
          <w:rFonts w:eastAsiaTheme="minorHAnsi"/>
          <w:b/>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 xml:space="preserve">0,00 eura </w:t>
      </w:r>
      <w:r>
        <w:rPr>
          <w:rFonts w:eastAsiaTheme="minorHAnsi"/>
          <w:i/>
          <w:color w:val="FF0000"/>
          <w:lang w:eastAsia="en-US"/>
        </w:rPr>
        <w:tab/>
      </w:r>
      <w:r>
        <w:rPr>
          <w:rFonts w:eastAsiaTheme="minorHAnsi"/>
          <w:i/>
          <w:color w:val="FF0000"/>
          <w:lang w:eastAsia="en-US"/>
        </w:rPr>
        <w:tab/>
      </w:r>
      <w:r>
        <w:rPr>
          <w:rFonts w:eastAsiaTheme="minorHAnsi"/>
          <w:b/>
          <w:lang w:eastAsia="en-US"/>
        </w:rPr>
        <w:t xml:space="preserve">Ostvareno: </w:t>
      </w:r>
      <w:r>
        <w:rPr>
          <w:rFonts w:eastAsiaTheme="minorHAnsi"/>
          <w:i/>
          <w:lang w:eastAsia="en-US"/>
        </w:rPr>
        <w:t>0,00 eura</w:t>
      </w:r>
    </w:p>
    <w:p w14:paraId="503FD937">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Navedeno pod točkom 2.3.1</w:t>
      </w:r>
    </w:p>
    <w:p w14:paraId="10C50A7C">
      <w:pPr>
        <w:rPr>
          <w:rFonts w:eastAsiaTheme="minorHAnsi"/>
          <w:color w:val="000000" w:themeColor="text1"/>
          <w:lang w:eastAsia="en-US"/>
          <w14:textFill>
            <w14:solidFill>
              <w14:schemeClr w14:val="tx1"/>
            </w14:solidFill>
          </w14:textFill>
        </w:rPr>
      </w:pPr>
    </w:p>
    <w:p w14:paraId="4A617688">
      <w:pPr>
        <w:rPr>
          <w:rFonts w:eastAsiaTheme="minorHAnsi"/>
          <w:color w:val="000000" w:themeColor="text1"/>
          <w:lang w:eastAsia="en-US"/>
          <w14:textFill>
            <w14:solidFill>
              <w14:schemeClr w14:val="tx1"/>
            </w14:solidFill>
          </w14:textFill>
        </w:rPr>
      </w:pPr>
    </w:p>
    <w:p w14:paraId="11F1392F">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2.5.3. Potpore programima destinacijskih menadžment kompanija (DMK)</w:t>
      </w:r>
    </w:p>
    <w:p w14:paraId="39C0299B">
      <w:pPr>
        <w:rPr>
          <w:rFonts w:eastAsiaTheme="minorHAnsi"/>
          <w:b/>
          <w:color w:val="000000" w:themeColor="text1"/>
          <w:lang w:eastAsia="en-US"/>
          <w14:textFill>
            <w14:solidFill>
              <w14:schemeClr w14:val="tx1"/>
            </w14:solidFill>
          </w14:textFill>
        </w:rPr>
      </w:pPr>
    </w:p>
    <w:p w14:paraId="0D6732B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78117CB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 xml:space="preserve">TZO Sali poduprijet će programe DMK  koje će pridonijeti razvoju destinacije. </w:t>
      </w:r>
    </w:p>
    <w:p w14:paraId="2DED8D5D">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Unapređenje razvoja i promocije destinacije.</w:t>
      </w:r>
    </w:p>
    <w:p w14:paraId="2D39F6B7">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TZO Sali, DMK</w:t>
      </w:r>
    </w:p>
    <w:p w14:paraId="22C61936">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0,00 eur</w:t>
      </w:r>
      <w:r>
        <w:rPr>
          <w:rFonts w:hint="default" w:eastAsiaTheme="minorHAnsi"/>
          <w:color w:val="000000" w:themeColor="text1"/>
          <w:lang w:val="hr-HR" w:eastAsia="en-US"/>
          <w14:textFill>
            <w14:solidFill>
              <w14:schemeClr w14:val="tx1"/>
            </w14:solidFill>
          </w14:textFill>
        </w:rPr>
        <w:t>a</w:t>
      </w:r>
    </w:p>
    <w:p w14:paraId="66A3AFFB">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KOMUNIKACIJA I OGLAŠAVANJE</w:t>
      </w:r>
    </w:p>
    <w:p w14:paraId="0DFEA469">
      <w:pPr>
        <w:rPr>
          <w:b/>
          <w:color w:val="000000" w:themeColor="text1"/>
          <w14:textFill>
            <w14:solidFill>
              <w14:schemeClr w14:val="tx1"/>
            </w14:solidFill>
          </w14:textFill>
        </w:rPr>
      </w:pPr>
    </w:p>
    <w:p w14:paraId="0330C9BE">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3.1. Sajmovi, posebne prezentacije i poslovne radionice:</w:t>
      </w:r>
    </w:p>
    <w:p w14:paraId="70060C08">
      <w:pPr>
        <w:autoSpaceDE w:val="0"/>
        <w:autoSpaceDN w:val="0"/>
        <w:adjustRightInd w:val="0"/>
        <w:rPr>
          <w:rFonts w:eastAsiaTheme="minorHAnsi"/>
          <w:b/>
          <w:color w:val="000000" w:themeColor="text1"/>
          <w:lang w:eastAsia="en-US"/>
          <w14:textFill>
            <w14:solidFill>
              <w14:schemeClr w14:val="tx1"/>
            </w14:solidFill>
          </w14:textFill>
        </w:rPr>
      </w:pPr>
    </w:p>
    <w:p w14:paraId="76B2C199">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3.1.1.Nastupi na sajmovima u koordinaciji s regionalnom turističkom zajednicom temeljem programa rada regionalne turističke zajednice</w:t>
      </w:r>
    </w:p>
    <w:p w14:paraId="5317674F">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1281FB0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 planira nastupiti na sajmovima u koordinaciji s regionalnom turističkom zajednicom temeljem programa rada regionalne turističke zajednice. Odrađene su prezentacije sa udruženim TZ-ima na području arhipelaga</w:t>
      </w:r>
    </w:p>
    <w:p w14:paraId="3087985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Doprinos promociji razvoja destinacije.</w:t>
      </w:r>
    </w:p>
    <w:p w14:paraId="2C1F288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TZZŽ, TZO Sali</w:t>
      </w:r>
    </w:p>
    <w:p w14:paraId="4110259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hint="default" w:eastAsiaTheme="minorHAnsi"/>
          <w:color w:val="000000" w:themeColor="text1"/>
          <w:lang w:val="hr-HR" w:eastAsia="en-US"/>
          <w14:textFill>
            <w14:solidFill>
              <w14:schemeClr w14:val="tx1"/>
            </w14:solidFill>
          </w14:textFill>
        </w:rPr>
        <w:t>1.100,00</w:t>
      </w:r>
      <w:r>
        <w:rPr>
          <w:rFonts w:eastAsiaTheme="minorHAnsi"/>
          <w:color w:val="000000" w:themeColor="text1"/>
          <w:lang w:eastAsia="en-US"/>
          <w14:textFill>
            <w14:solidFill>
              <w14:schemeClr w14:val="tx1"/>
            </w14:solidFill>
          </w14:textFill>
        </w:rPr>
        <w:t xml:space="preserve">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color w:val="000000" w:themeColor="text1"/>
          <w:lang w:val="hr-HR" w:eastAsia="en-US"/>
          <w14:textFill>
            <w14:solidFill>
              <w14:schemeClr w14:val="tx1"/>
            </w14:solidFill>
          </w14:textFill>
        </w:rPr>
        <w:t>1.100,00</w:t>
      </w:r>
      <w:r>
        <w:rPr>
          <w:rFonts w:eastAsiaTheme="minorHAnsi"/>
          <w:color w:val="000000" w:themeColor="text1"/>
          <w:lang w:eastAsia="en-US"/>
          <w14:textFill>
            <w14:solidFill>
              <w14:schemeClr w14:val="tx1"/>
            </w14:solidFill>
          </w14:textFill>
        </w:rPr>
        <w:t xml:space="preserve"> eura</w:t>
      </w:r>
    </w:p>
    <w:p w14:paraId="50BA841F">
      <w:pPr>
        <w:tabs>
          <w:tab w:val="left" w:pos="5220"/>
        </w:tabs>
        <w:autoSpaceDE w:val="0"/>
        <w:autoSpaceDN w:val="0"/>
        <w:adjustRightInd w:val="0"/>
        <w:rPr>
          <w:rFonts w:eastAsiaTheme="minorHAnsi"/>
          <w:color w:val="000000" w:themeColor="text1"/>
          <w:lang w:eastAsia="en-US"/>
          <w14:textFill>
            <w14:solidFill>
              <w14:schemeClr w14:val="tx1"/>
            </w14:solidFill>
          </w14:textFill>
        </w:rPr>
      </w:pPr>
    </w:p>
    <w:p w14:paraId="790AFDE9">
      <w:pPr>
        <w:autoSpaceDE w:val="0"/>
        <w:autoSpaceDN w:val="0"/>
        <w:adjustRightInd w:val="0"/>
        <w:rPr>
          <w:rFonts w:eastAsiaTheme="minorHAnsi"/>
          <w:b/>
          <w:color w:val="000000" w:themeColor="text1"/>
          <w:lang w:eastAsia="en-US"/>
          <w14:textFill>
            <w14:solidFill>
              <w14:schemeClr w14:val="tx1"/>
            </w14:solidFill>
          </w14:textFill>
        </w:rPr>
      </w:pPr>
    </w:p>
    <w:p w14:paraId="2D6FA87A">
      <w:pPr>
        <w:autoSpaceDE w:val="0"/>
        <w:autoSpaceDN w:val="0"/>
        <w:adjustRightInd w:val="0"/>
        <w:rPr>
          <w:rFonts w:hint="default"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3.1.2. </w:t>
      </w:r>
      <w:r>
        <w:rPr>
          <w:rFonts w:hint="default" w:eastAsiaTheme="minorHAnsi"/>
          <w:b/>
          <w:color w:val="000000" w:themeColor="text1"/>
          <w:lang w:eastAsia="en-US"/>
          <w14:textFill>
            <w14:solidFill>
              <w14:schemeClr w14:val="tx1"/>
            </w14:solidFill>
          </w14:textFill>
        </w:rPr>
        <w:t>Oglašavanje destinacijskog branda, turističke ponude i proizvoda (Zadarski Arhipelag)</w:t>
      </w:r>
    </w:p>
    <w:p w14:paraId="1D7676F9">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će sudjelovati</w:t>
      </w:r>
      <w:r>
        <w:rPr>
          <w:rFonts w:eastAsiaTheme="minorHAnsi"/>
          <w:b/>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u</w:t>
      </w:r>
      <w:r>
        <w:rPr>
          <w:rFonts w:eastAsiaTheme="minorHAnsi"/>
          <w:b/>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 xml:space="preserve">posebnim prezentacijama turističke ponude destinacije u koordinaciji s </w:t>
      </w:r>
      <w:r>
        <w:rPr>
          <w:rFonts w:hint="default" w:eastAsiaTheme="minorHAnsi"/>
          <w:color w:val="000000" w:themeColor="text1"/>
          <w:lang w:val="hr-HR" w:eastAsia="en-US"/>
          <w14:textFill>
            <w14:solidFill>
              <w14:schemeClr w14:val="tx1"/>
            </w14:solidFill>
          </w14:textFill>
        </w:rPr>
        <w:t>udruženim turističkim zajednicama zadarskog arhipelaga.</w:t>
      </w:r>
    </w:p>
    <w:p w14:paraId="6DF9DACB">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 xml:space="preserve">Doprinos promociji </w:t>
      </w:r>
      <w:r>
        <w:rPr>
          <w:rFonts w:hint="default" w:eastAsiaTheme="minorHAnsi"/>
          <w:color w:val="000000" w:themeColor="text1"/>
          <w:lang w:val="hr-HR" w:eastAsia="en-US"/>
          <w14:textFill>
            <w14:solidFill>
              <w14:schemeClr w14:val="tx1"/>
            </w14:solidFill>
          </w14:textFill>
        </w:rPr>
        <w:t>destinacije</w:t>
      </w:r>
    </w:p>
    <w:p w14:paraId="7540E906">
      <w:pPr>
        <w:autoSpaceDE w:val="0"/>
        <w:autoSpaceDN w:val="0"/>
        <w:adjustRightInd w:val="0"/>
        <w:rPr>
          <w:rFonts w:hint="default" w:eastAsiaTheme="minorHAnsi"/>
          <w:b/>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Udružene TZ na razini arhipelaga</w:t>
      </w:r>
    </w:p>
    <w:p w14:paraId="23C0B569">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4.000,00</w:t>
      </w:r>
      <w:r>
        <w:rPr>
          <w:rFonts w:eastAsiaTheme="minorHAnsi"/>
          <w:i/>
          <w:color w:val="000000" w:themeColor="text1"/>
          <w:lang w:eastAsia="en-US"/>
          <w14:textFill>
            <w14:solidFill>
              <w14:schemeClr w14:val="tx1"/>
            </w14:solidFill>
          </w14:textFill>
        </w:rPr>
        <w:t xml:space="preserve">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Ostvareno:</w:t>
      </w:r>
      <w:r>
        <w:rPr>
          <w:rFonts w:hint="default" w:eastAsiaTheme="minorHAnsi"/>
          <w:b w:val="0"/>
          <w:bCs/>
          <w:color w:val="000000" w:themeColor="text1"/>
          <w:lang w:val="hr-HR" w:eastAsia="en-US"/>
          <w14:textFill>
            <w14:solidFill>
              <w14:schemeClr w14:val="tx1"/>
            </w14:solidFill>
          </w14:textFill>
        </w:rPr>
        <w:t>4.000,00</w:t>
      </w:r>
      <w:r>
        <w:rPr>
          <w:rFonts w:eastAsiaTheme="minorHAnsi"/>
          <w:i/>
          <w:color w:val="000000" w:themeColor="text1"/>
          <w:lang w:eastAsia="en-US"/>
          <w14:textFill>
            <w14:solidFill>
              <w14:schemeClr w14:val="tx1"/>
            </w14:solidFill>
          </w14:textFill>
        </w:rPr>
        <w:t xml:space="preserve"> eura</w:t>
      </w:r>
    </w:p>
    <w:p w14:paraId="2034A7B3">
      <w:pPr>
        <w:autoSpaceDE w:val="0"/>
        <w:autoSpaceDN w:val="0"/>
        <w:adjustRightInd w:val="0"/>
        <w:rPr>
          <w:rFonts w:eastAsiaTheme="minorHAnsi"/>
          <w:color w:val="000000" w:themeColor="text1"/>
          <w:lang w:eastAsia="en-US"/>
          <w14:textFill>
            <w14:solidFill>
              <w14:schemeClr w14:val="tx1"/>
            </w14:solidFill>
          </w14:textFill>
        </w:rPr>
      </w:pPr>
    </w:p>
    <w:p w14:paraId="3EE89E01">
      <w:pPr>
        <w:autoSpaceDE w:val="0"/>
        <w:autoSpaceDN w:val="0"/>
        <w:adjustRightInd w:val="0"/>
        <w:rPr>
          <w:rFonts w:eastAsiaTheme="minorHAnsi"/>
          <w:color w:val="000000" w:themeColor="text1"/>
          <w:lang w:eastAsia="en-US"/>
          <w14:textFill>
            <w14:solidFill>
              <w14:schemeClr w14:val="tx1"/>
            </w14:solidFill>
          </w14:textFill>
        </w:rPr>
      </w:pPr>
    </w:p>
    <w:p w14:paraId="7EEA5ACF">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3.2. Suradnja s organizatorima putovanja:</w:t>
      </w:r>
    </w:p>
    <w:p w14:paraId="73C348D3">
      <w:pPr>
        <w:autoSpaceDE w:val="0"/>
        <w:autoSpaceDN w:val="0"/>
        <w:adjustRightInd w:val="0"/>
        <w:rPr>
          <w:rFonts w:eastAsiaTheme="minorHAnsi"/>
          <w:b/>
          <w:bCs/>
          <w:color w:val="000000" w:themeColor="text1"/>
          <w:lang w:eastAsia="en-US"/>
          <w14:textFill>
            <w14:solidFill>
              <w14:schemeClr w14:val="tx1"/>
            </w14:solidFill>
          </w14:textFill>
        </w:rPr>
      </w:pPr>
    </w:p>
    <w:p w14:paraId="78F5FD6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3.2.1.Pružanje podrške u organizaciji studijskih putovanja novinara, predstavnika organizatora putovanja i agenata u suradnji s regionalnom turističkom zajednicom i HTZ-om.</w:t>
      </w:r>
    </w:p>
    <w:p w14:paraId="347B3DDD">
      <w:pPr>
        <w:autoSpaceDE w:val="0"/>
        <w:autoSpaceDN w:val="0"/>
        <w:adjustRightInd w:val="0"/>
        <w:rPr>
          <w:rFonts w:eastAsiaTheme="minorHAnsi"/>
          <w:b/>
          <w:color w:val="000000" w:themeColor="text1"/>
          <w:lang w:eastAsia="en-US"/>
          <w14:textFill>
            <w14:solidFill>
              <w14:schemeClr w14:val="tx1"/>
            </w14:solidFill>
          </w14:textFill>
        </w:rPr>
      </w:pPr>
    </w:p>
    <w:p w14:paraId="11D6183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7490B06A">
      <w:pPr>
        <w:jc w:val="both"/>
      </w:pPr>
      <w:r>
        <w:t xml:space="preserve">Turistička zajednica općine Sali pružit će maksimalnu moguću asistenciju Turističkoj zajednici Zadarske županije i Hrvatskoj turističkoj zajednici o prihvatu novinara i agenata na studijskim putovanjima koji odgovaraju turističkim proizvodima općine Sali (planiranje, vođenje od strane osoblja Zajednice, najave za obilazak i ostalo). Ista će se odraditi u suglasju i partnerstvu s lokalnim pružateljima usluga. </w:t>
      </w:r>
    </w:p>
    <w:p w14:paraId="2C26A12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Doprinos promociji razvoja mjesta</w:t>
      </w:r>
    </w:p>
    <w:p w14:paraId="0EF1B91C">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TZZŽ,HTZ, lokalni pružatelji usluga</w:t>
      </w:r>
    </w:p>
    <w:p w14:paraId="12D9982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1.327,23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color w:val="000000" w:themeColor="text1"/>
          <w:lang w:val="hr-HR" w:eastAsia="en-US"/>
          <w14:textFill>
            <w14:solidFill>
              <w14:schemeClr w14:val="tx1"/>
            </w14:solidFill>
          </w14:textFill>
        </w:rPr>
        <w:t>1.327,23</w:t>
      </w:r>
      <w:r>
        <w:rPr>
          <w:rFonts w:eastAsiaTheme="minorHAnsi"/>
          <w:color w:val="000000" w:themeColor="text1"/>
          <w:lang w:eastAsia="en-US"/>
          <w14:textFill>
            <w14:solidFill>
              <w14:schemeClr w14:val="tx1"/>
            </w14:solidFill>
          </w14:textFill>
        </w:rPr>
        <w:t xml:space="preserve"> eura</w:t>
      </w:r>
    </w:p>
    <w:p w14:paraId="49E483A2">
      <w:pPr>
        <w:autoSpaceDE w:val="0"/>
        <w:autoSpaceDN w:val="0"/>
        <w:adjustRightInd w:val="0"/>
        <w:rPr>
          <w:rFonts w:eastAsiaTheme="minorHAnsi"/>
          <w:color w:val="000000" w:themeColor="text1"/>
          <w:lang w:eastAsia="en-US"/>
          <w14:textFill>
            <w14:solidFill>
              <w14:schemeClr w14:val="tx1"/>
            </w14:solidFill>
          </w14:textFill>
        </w:rPr>
      </w:pPr>
    </w:p>
    <w:p w14:paraId="79648116">
      <w:pPr>
        <w:autoSpaceDE w:val="0"/>
        <w:autoSpaceDN w:val="0"/>
        <w:adjustRightInd w:val="0"/>
        <w:rPr>
          <w:rFonts w:eastAsiaTheme="minorHAnsi"/>
          <w:color w:val="000000" w:themeColor="text1"/>
          <w:lang w:eastAsia="en-US"/>
          <w14:textFill>
            <w14:solidFill>
              <w14:schemeClr w14:val="tx1"/>
            </w14:solidFill>
          </w14:textFill>
        </w:rPr>
      </w:pPr>
    </w:p>
    <w:p w14:paraId="5A48A47E">
      <w:pPr>
        <w:autoSpaceDE w:val="0"/>
        <w:autoSpaceDN w:val="0"/>
        <w:adjustRightInd w:val="0"/>
        <w:rPr>
          <w:rFonts w:eastAsiaTheme="minorHAnsi"/>
          <w:color w:val="000000" w:themeColor="text1"/>
          <w:lang w:eastAsia="en-US"/>
          <w14:textFill>
            <w14:solidFill>
              <w14:schemeClr w14:val="tx1"/>
            </w14:solidFill>
          </w14:textFill>
        </w:rPr>
      </w:pPr>
    </w:p>
    <w:p w14:paraId="1E566278">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3.3. Kreiranje promotivnog materijala:</w:t>
      </w:r>
    </w:p>
    <w:p w14:paraId="3ED395F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3.3.1. Izrada i distribucija informativnih materijala</w:t>
      </w:r>
    </w:p>
    <w:p w14:paraId="0AAB010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Izrada tiskanog materijala</w:t>
      </w:r>
    </w:p>
    <w:p w14:paraId="42773635">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Precizan i detaljan opis aktivnosti:</w:t>
      </w:r>
    </w:p>
    <w:p w14:paraId="0123C2A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će po potrebi izraditi informativni materijal otoka ili reprint postojećeg (mape otoka, plan mjesta, tematske karte i brošure)</w:t>
      </w:r>
    </w:p>
    <w:p w14:paraId="537297F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Promocija destinacije te informiranje gostiju o svim usluga i općim informacijama u destinaciji</w:t>
      </w:r>
    </w:p>
    <w:p w14:paraId="227E6A07">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w:t>
      </w:r>
    </w:p>
    <w:p w14:paraId="1766D3F5">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b w:val="0"/>
          <w:bCs/>
          <w:color w:val="000000" w:themeColor="text1"/>
          <w:lang w:eastAsia="en-US"/>
          <w14:textFill>
            <w14:solidFill>
              <w14:schemeClr w14:val="tx1"/>
            </w14:solidFill>
          </w14:textFill>
        </w:rPr>
        <w:t xml:space="preserve"> </w:t>
      </w:r>
      <w:r>
        <w:rPr>
          <w:rFonts w:hint="default" w:eastAsiaTheme="minorHAnsi"/>
          <w:b w:val="0"/>
          <w:bCs/>
          <w:color w:val="000000" w:themeColor="text1"/>
          <w:lang w:val="hr-HR" w:eastAsia="en-US"/>
          <w14:textFill>
            <w14:solidFill>
              <w14:schemeClr w14:val="tx1"/>
            </w14:solidFill>
          </w14:textFill>
        </w:rPr>
        <w:t>3</w:t>
      </w:r>
      <w:r>
        <w:rPr>
          <w:rFonts w:eastAsiaTheme="minorHAnsi"/>
          <w:b w:val="0"/>
          <w:bCs/>
          <w:i/>
          <w:color w:val="000000" w:themeColor="text1"/>
          <w:lang w:eastAsia="en-US"/>
          <w14:textFill>
            <w14:solidFill>
              <w14:schemeClr w14:val="tx1"/>
            </w14:solidFill>
          </w14:textFill>
        </w:rPr>
        <w:t>.</w:t>
      </w:r>
      <w:r>
        <w:rPr>
          <w:rFonts w:eastAsiaTheme="minorHAnsi"/>
          <w:i/>
          <w:color w:val="000000" w:themeColor="text1"/>
          <w:lang w:eastAsia="en-US"/>
          <w14:textFill>
            <w14:solidFill>
              <w14:schemeClr w14:val="tx1"/>
            </w14:solidFill>
          </w14:textFill>
        </w:rPr>
        <w:t>981,68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3</w:t>
      </w:r>
      <w:r>
        <w:rPr>
          <w:rFonts w:eastAsiaTheme="minorHAnsi"/>
          <w:b w:val="0"/>
          <w:bCs/>
          <w:i/>
          <w:color w:val="000000" w:themeColor="text1"/>
          <w:lang w:eastAsia="en-US"/>
          <w14:textFill>
            <w14:solidFill>
              <w14:schemeClr w14:val="tx1"/>
            </w14:solidFill>
          </w14:textFill>
        </w:rPr>
        <w:t>.</w:t>
      </w:r>
      <w:r>
        <w:rPr>
          <w:rFonts w:eastAsiaTheme="minorHAnsi"/>
          <w:i/>
          <w:color w:val="000000" w:themeColor="text1"/>
          <w:lang w:eastAsia="en-US"/>
          <w14:textFill>
            <w14:solidFill>
              <w14:schemeClr w14:val="tx1"/>
            </w14:solidFill>
          </w14:textFill>
        </w:rPr>
        <w:t>981,68 eur</w:t>
      </w:r>
      <w:r>
        <w:rPr>
          <w:rFonts w:hint="default" w:eastAsiaTheme="minorHAnsi"/>
          <w:i/>
          <w:color w:val="000000" w:themeColor="text1"/>
          <w:lang w:val="hr-HR" w:eastAsia="en-US"/>
          <w14:textFill>
            <w14:solidFill>
              <w14:schemeClr w14:val="tx1"/>
            </w14:solidFill>
          </w14:textFill>
        </w:rPr>
        <w:t>a</w:t>
      </w:r>
    </w:p>
    <w:p w14:paraId="1C88343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Manifestacije – info letak i plakati</w:t>
      </w:r>
    </w:p>
    <w:p w14:paraId="5EA04CD5">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p>
    <w:p w14:paraId="7585F70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Info letak i plakati sadržavaju sve potrebne informacije o manifestacijama koje se održavaju.</w:t>
      </w:r>
    </w:p>
    <w:p w14:paraId="7634AE9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Informiranost gostiju o manifestacijama koje se održavaju.</w:t>
      </w:r>
    </w:p>
    <w:p w14:paraId="1055DE1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0ACBE86B">
      <w:pPr>
        <w:autoSpaceDE w:val="0"/>
        <w:autoSpaceDN w:val="0"/>
        <w:adjustRightInd w:val="0"/>
        <w:rPr>
          <w:rFonts w:eastAsiaTheme="minorHAnsi"/>
          <w:i/>
          <w:color w:val="FF0000"/>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 xml:space="preserve">0,00 eura </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0,00 eura</w:t>
      </w:r>
    </w:p>
    <w:p w14:paraId="33D2BA9B">
      <w:pPr>
        <w:autoSpaceDE w:val="0"/>
        <w:autoSpaceDN w:val="0"/>
        <w:adjustRightInd w:val="0"/>
        <w:rPr>
          <w:rFonts w:eastAsiaTheme="minorHAnsi"/>
          <w:color w:val="000000" w:themeColor="text1"/>
          <w:lang w:eastAsia="en-US"/>
          <w14:textFill>
            <w14:solidFill>
              <w14:schemeClr w14:val="tx1"/>
            </w14:solidFill>
          </w14:textFill>
        </w:rPr>
      </w:pPr>
    </w:p>
    <w:p w14:paraId="50649B11">
      <w:pPr>
        <w:autoSpaceDE w:val="0"/>
        <w:autoSpaceDN w:val="0"/>
        <w:adjustRightInd w:val="0"/>
        <w:rPr>
          <w:rFonts w:eastAsiaTheme="minorHAnsi"/>
          <w:color w:val="000000" w:themeColor="text1"/>
          <w:lang w:eastAsia="en-US"/>
          <w14:textFill>
            <w14:solidFill>
              <w14:schemeClr w14:val="tx1"/>
            </w14:solidFill>
          </w14:textFill>
        </w:rPr>
      </w:pPr>
    </w:p>
    <w:p w14:paraId="1D8FD696">
      <w:pPr>
        <w:autoSpaceDE w:val="0"/>
        <w:autoSpaceDN w:val="0"/>
        <w:adjustRightInd w:val="0"/>
        <w:rPr>
          <w:rFonts w:eastAsiaTheme="minorHAnsi"/>
          <w:color w:val="000000" w:themeColor="text1"/>
          <w:lang w:eastAsia="en-US"/>
          <w14:textFill>
            <w14:solidFill>
              <w14:schemeClr w14:val="tx1"/>
            </w14:solidFill>
          </w14:textFill>
        </w:rPr>
      </w:pPr>
    </w:p>
    <w:p w14:paraId="66C1226A">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3.3.2. Stvaranje, održavanje i redovito kreiranje sadržaja na mrežnim stranicama destinacije i društvenim mrežama</w:t>
      </w:r>
    </w:p>
    <w:p w14:paraId="729F08B4">
      <w:pPr>
        <w:rPr>
          <w:rFonts w:eastAsiaTheme="minorHAnsi"/>
          <w:lang w:eastAsia="en-US"/>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lang w:eastAsia="en-US"/>
        </w:rPr>
        <w:t>TZ planira nastaviti</w:t>
      </w:r>
      <w:r>
        <w:rPr>
          <w:rFonts w:eastAsiaTheme="minorHAnsi"/>
          <w:b/>
          <w:lang w:eastAsia="en-US"/>
        </w:rPr>
        <w:t xml:space="preserve"> </w:t>
      </w:r>
      <w:r>
        <w:rPr>
          <w:rFonts w:eastAsiaTheme="minorHAnsi"/>
          <w:lang w:eastAsia="en-US"/>
        </w:rPr>
        <w:t xml:space="preserve">održavanje i kreiranje sadržaja na mrežnim stranicama destinacije i društvenim mrežama. </w:t>
      </w:r>
    </w:p>
    <w:p w14:paraId="4C8C55B4">
      <w:r>
        <w:t xml:space="preserve">Posebno je značajno oglašavanje putem društvenih mreža kako bi se približili postojećim i budućim turistima šireći doživljaje i informacije destinacije. TZO Sali planira oglašavanje na društvenim mrežama kao što su Facebook, Instragram, Twiter. </w:t>
      </w:r>
    </w:p>
    <w:p w14:paraId="55A3247F">
      <w:pPr>
        <w:rPr>
          <w:sz w:val="22"/>
          <w:szCs w:val="22"/>
        </w:rPr>
      </w:pPr>
      <w:r>
        <w:rPr>
          <w:rFonts w:eastAsiaTheme="minorHAnsi"/>
          <w:b/>
        </w:rPr>
        <w:t>Cilj aktivnosti:</w:t>
      </w:r>
      <w:r>
        <w:rPr>
          <w:rFonts w:eastAsiaTheme="minorHAnsi"/>
        </w:rPr>
        <w:t xml:space="preserve"> Doprinos promociji destinacije.</w:t>
      </w:r>
    </w:p>
    <w:p w14:paraId="3C4BB267">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656C4D65">
      <w:pPr>
        <w:autoSpaceDE w:val="0"/>
        <w:autoSpaceDN w:val="0"/>
        <w:adjustRightInd w:val="0"/>
        <w:rPr>
          <w:rFonts w:eastAsiaTheme="minorHAnsi"/>
          <w:i/>
          <w:color w:val="FF0000"/>
          <w:lang w:eastAsia="en-US"/>
        </w:rPr>
      </w:pPr>
      <w:r>
        <w:rPr>
          <w:rFonts w:eastAsiaTheme="minorHAnsi"/>
          <w:b/>
          <w:color w:val="000000" w:themeColor="text1"/>
          <w:lang w:eastAsia="en-US"/>
          <w14:textFill>
            <w14:solidFill>
              <w14:schemeClr w14:val="tx1"/>
            </w14:solidFill>
          </w14:textFill>
        </w:rPr>
        <w:t xml:space="preserve">Planirano: </w:t>
      </w:r>
      <w:r>
        <w:rPr>
          <w:rFonts w:hint="default" w:eastAsiaTheme="minorHAnsi"/>
          <w:i/>
          <w:color w:val="000000" w:themeColor="text1"/>
          <w:lang w:val="hr-HR" w:eastAsia="en-US"/>
          <w14:textFill>
            <w14:solidFill>
              <w14:schemeClr w14:val="tx1"/>
            </w14:solidFill>
          </w14:textFill>
        </w:rPr>
        <w:t>5.000,00</w:t>
      </w:r>
      <w:r>
        <w:rPr>
          <w:rFonts w:eastAsiaTheme="minorHAnsi"/>
          <w:i/>
          <w:color w:val="000000" w:themeColor="text1"/>
          <w:lang w:eastAsia="en-US"/>
          <w14:textFill>
            <w14:solidFill>
              <w14:schemeClr w14:val="tx1"/>
            </w14:solidFill>
          </w14:textFill>
        </w:rPr>
        <w:t xml:space="preserve"> eura </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i/>
          <w:color w:val="000000" w:themeColor="text1"/>
          <w:lang w:val="hr-HR" w:eastAsia="en-US"/>
          <w14:textFill>
            <w14:solidFill>
              <w14:schemeClr w14:val="tx1"/>
            </w14:solidFill>
          </w14:textFill>
        </w:rPr>
        <w:t>5.000,00</w:t>
      </w:r>
      <w:r>
        <w:rPr>
          <w:rFonts w:eastAsiaTheme="minorHAnsi"/>
          <w:i/>
          <w:color w:val="000000" w:themeColor="text1"/>
          <w:lang w:eastAsia="en-US"/>
          <w14:textFill>
            <w14:solidFill>
              <w14:schemeClr w14:val="tx1"/>
            </w14:solidFill>
          </w14:textFill>
        </w:rPr>
        <w:t xml:space="preserve"> eura</w:t>
      </w:r>
    </w:p>
    <w:p w14:paraId="3A4402DD">
      <w:pPr>
        <w:autoSpaceDE w:val="0"/>
        <w:autoSpaceDN w:val="0"/>
        <w:adjustRightInd w:val="0"/>
        <w:rPr>
          <w:rFonts w:eastAsiaTheme="minorHAnsi"/>
          <w:color w:val="000000" w:themeColor="text1"/>
          <w:lang w:eastAsia="en-US"/>
          <w14:textFill>
            <w14:solidFill>
              <w14:schemeClr w14:val="tx1"/>
            </w14:solidFill>
          </w14:textFill>
        </w:rPr>
      </w:pPr>
    </w:p>
    <w:p w14:paraId="36C84222">
      <w:pPr>
        <w:autoSpaceDE w:val="0"/>
        <w:autoSpaceDN w:val="0"/>
        <w:adjustRightInd w:val="0"/>
        <w:rPr>
          <w:rFonts w:eastAsiaTheme="minorHAnsi"/>
          <w:color w:val="000000" w:themeColor="text1"/>
          <w:lang w:eastAsia="en-US"/>
          <w14:textFill>
            <w14:solidFill>
              <w14:schemeClr w14:val="tx1"/>
            </w14:solidFill>
          </w14:textFill>
        </w:rPr>
      </w:pPr>
    </w:p>
    <w:p w14:paraId="090EEECA">
      <w:pPr>
        <w:autoSpaceDE w:val="0"/>
        <w:autoSpaceDN w:val="0"/>
        <w:adjustRightInd w:val="0"/>
        <w:rPr>
          <w:rFonts w:eastAsiaTheme="minorHAnsi"/>
          <w:color w:val="000000" w:themeColor="text1"/>
          <w:lang w:eastAsia="en-US"/>
          <w14:textFill>
            <w14:solidFill>
              <w14:schemeClr w14:val="tx1"/>
            </w14:solidFill>
          </w14:textFill>
        </w:rPr>
      </w:pPr>
    </w:p>
    <w:p w14:paraId="2ACED057">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3.3.3. Priprema destinacijskih marketinških materijala sukladno definiranim standardima i upućivanje na usklađivanje i odobrenje LTZ u RTZ</w:t>
      </w:r>
    </w:p>
    <w:p w14:paraId="3DD995BE">
      <w:pPr>
        <w:autoSpaceDE w:val="0"/>
        <w:autoSpaceDN w:val="0"/>
        <w:adjustRightInd w:val="0"/>
        <w:rPr>
          <w:rFonts w:eastAsiaTheme="minorHAnsi"/>
          <w:b/>
          <w:color w:val="000000" w:themeColor="text1"/>
          <w:lang w:eastAsia="en-US"/>
          <w14:textFill>
            <w14:solidFill>
              <w14:schemeClr w14:val="tx1"/>
            </w14:solidFill>
          </w14:textFill>
        </w:rPr>
      </w:pPr>
    </w:p>
    <w:p w14:paraId="1DD86CF4">
      <w:r>
        <w:rPr>
          <w:rFonts w:eastAsiaTheme="minorHAnsi"/>
          <w:b/>
          <w:color w:val="000000" w:themeColor="text1"/>
          <w:lang w:eastAsia="en-US"/>
          <w14:textFill>
            <w14:solidFill>
              <w14:schemeClr w14:val="tx1"/>
            </w14:solidFill>
          </w14:textFill>
        </w:rPr>
        <w:t>Detaljan i precizan opis aktivnosti:</w:t>
      </w:r>
      <w:r>
        <w:t xml:space="preserve"> Kreiranje promotivnog materijala i drugih marketinških aktivnosti i alata izvršavati će se sukladno smjernicama i standardima Turističke zajednice Zadarske županije te će se uputiti na usklađivanje i odobrenje sukladno Zakonu.</w:t>
      </w:r>
    </w:p>
    <w:p w14:paraId="158C90B3">
      <w:r>
        <w:rPr>
          <w:rFonts w:eastAsiaTheme="minorHAnsi"/>
          <w:b/>
        </w:rPr>
        <w:t xml:space="preserve">Cilj aktivnosti: </w:t>
      </w:r>
      <w:r>
        <w:rPr>
          <w:rFonts w:eastAsiaTheme="minorHAnsi"/>
        </w:rPr>
        <w:t xml:space="preserve">ujednačenost </w:t>
      </w:r>
      <w:r>
        <w:rPr>
          <w:rFonts w:eastAsiaTheme="minorHAnsi"/>
          <w:color w:val="000000" w:themeColor="text1"/>
          <w:lang w:eastAsia="en-US"/>
          <w14:textFill>
            <w14:solidFill>
              <w14:schemeClr w14:val="tx1"/>
            </w14:solidFill>
          </w14:textFill>
        </w:rPr>
        <w:t>marketinških materijala</w:t>
      </w:r>
      <w:r>
        <w:rPr>
          <w:rFonts w:eastAsiaTheme="minorHAnsi"/>
          <w:b/>
          <w:color w:val="000000" w:themeColor="text1"/>
          <w:lang w:eastAsia="en-US"/>
          <w14:textFill>
            <w14:solidFill>
              <w14:schemeClr w14:val="tx1"/>
            </w14:solidFill>
          </w14:textFill>
        </w:rPr>
        <w:t xml:space="preserve"> </w:t>
      </w:r>
    </w:p>
    <w:p w14:paraId="6FBC8958">
      <w:pPr>
        <w:rPr>
          <w:rFonts w:eastAsiaTheme="minorHAnsi"/>
          <w:b/>
        </w:rPr>
      </w:pPr>
      <w:r>
        <w:rPr>
          <w:rFonts w:eastAsiaTheme="minorHAnsi"/>
          <w:b/>
        </w:rPr>
        <w:t xml:space="preserve">Nositelji aktivnosti i partneri: </w:t>
      </w:r>
      <w:r>
        <w:rPr>
          <w:rFonts w:eastAsiaTheme="minorHAnsi"/>
        </w:rPr>
        <w:t>TZO Sali, TZZŽ</w:t>
      </w:r>
    </w:p>
    <w:p w14:paraId="5176ACBF">
      <w:pPr>
        <w:rPr>
          <w:rFonts w:eastAsiaTheme="minorHAnsi"/>
          <w:i/>
        </w:rPr>
      </w:pPr>
      <w:r>
        <w:rPr>
          <w:rFonts w:eastAsiaTheme="minorHAnsi"/>
          <w:b/>
        </w:rPr>
        <w:t xml:space="preserve">Planirano: </w:t>
      </w:r>
      <w:r>
        <w:rPr>
          <w:rFonts w:eastAsiaTheme="minorHAnsi"/>
        </w:rPr>
        <w:t>0,00 eura</w:t>
      </w:r>
      <w:r>
        <w:rPr>
          <w:rFonts w:eastAsiaTheme="minorHAnsi"/>
        </w:rPr>
        <w:tab/>
      </w:r>
      <w:r>
        <w:rPr>
          <w:rFonts w:eastAsiaTheme="minorHAnsi"/>
        </w:rPr>
        <w:tab/>
      </w:r>
      <w:r>
        <w:rPr>
          <w:rFonts w:eastAsiaTheme="minorHAnsi"/>
          <w:b/>
        </w:rPr>
        <w:t xml:space="preserve">Ostvareno: </w:t>
      </w:r>
      <w:r>
        <w:rPr>
          <w:rFonts w:eastAsiaTheme="minorHAnsi"/>
          <w:i/>
        </w:rPr>
        <w:t>0,00 eura</w:t>
      </w:r>
    </w:p>
    <w:p w14:paraId="16058BC5">
      <w:pPr>
        <w:autoSpaceDE w:val="0"/>
        <w:autoSpaceDN w:val="0"/>
        <w:adjustRightInd w:val="0"/>
        <w:rPr>
          <w:rFonts w:eastAsiaTheme="minorHAnsi"/>
          <w:b/>
          <w:color w:val="000000" w:themeColor="text1"/>
          <w:lang w:eastAsia="en-US"/>
          <w14:textFill>
            <w14:solidFill>
              <w14:schemeClr w14:val="tx1"/>
            </w14:solidFill>
          </w14:textFill>
        </w:rPr>
      </w:pPr>
    </w:p>
    <w:p w14:paraId="081CE431">
      <w:pPr>
        <w:autoSpaceDE w:val="0"/>
        <w:autoSpaceDN w:val="0"/>
        <w:adjustRightInd w:val="0"/>
        <w:rPr>
          <w:rFonts w:eastAsiaTheme="minorHAnsi"/>
          <w:color w:val="000000" w:themeColor="text1"/>
          <w:lang w:eastAsia="en-US"/>
          <w14:textFill>
            <w14:solidFill>
              <w14:schemeClr w14:val="tx1"/>
            </w14:solidFill>
          </w14:textFill>
        </w:rPr>
      </w:pPr>
    </w:p>
    <w:p w14:paraId="252B6695">
      <w:pPr>
        <w:autoSpaceDE w:val="0"/>
        <w:autoSpaceDN w:val="0"/>
        <w:adjustRightInd w:val="0"/>
        <w:rPr>
          <w:rFonts w:eastAsiaTheme="minorHAnsi"/>
          <w:color w:val="000000" w:themeColor="text1"/>
          <w:lang w:eastAsia="en-US"/>
          <w14:textFill>
            <w14:solidFill>
              <w14:schemeClr w14:val="tx1"/>
            </w14:solidFill>
          </w14:textFill>
        </w:rPr>
      </w:pPr>
    </w:p>
    <w:p w14:paraId="379814E2">
      <w:pPr>
        <w:autoSpaceDE w:val="0"/>
        <w:autoSpaceDN w:val="0"/>
        <w:adjustRightInd w:val="0"/>
        <w:rPr>
          <w:rFonts w:eastAsiaTheme="minorHAnsi"/>
          <w:color w:val="000000" w:themeColor="text1"/>
          <w:lang w:eastAsia="en-US"/>
          <w14:textFill>
            <w14:solidFill>
              <w14:schemeClr w14:val="tx1"/>
            </w14:solidFill>
          </w14:textFill>
        </w:rPr>
      </w:pPr>
    </w:p>
    <w:p w14:paraId="0B996DD7">
      <w:pPr>
        <w:autoSpaceDE w:val="0"/>
        <w:autoSpaceDN w:val="0"/>
        <w:adjustRightInd w:val="0"/>
        <w:rPr>
          <w:rFonts w:eastAsiaTheme="minorHAnsi"/>
          <w:color w:val="000000" w:themeColor="text1"/>
          <w:lang w:eastAsia="en-US"/>
          <w14:textFill>
            <w14:solidFill>
              <w14:schemeClr w14:val="tx1"/>
            </w14:solidFill>
          </w14:textFill>
        </w:rPr>
      </w:pPr>
    </w:p>
    <w:p w14:paraId="75AF305E">
      <w:pPr>
        <w:autoSpaceDE w:val="0"/>
        <w:autoSpaceDN w:val="0"/>
        <w:adjustRightInd w:val="0"/>
        <w:rPr>
          <w:rFonts w:eastAsiaTheme="minorHAnsi"/>
          <w:color w:val="000000" w:themeColor="text1"/>
          <w:lang w:eastAsia="en-US"/>
          <w14:textFill>
            <w14:solidFill>
              <w14:schemeClr w14:val="tx1"/>
            </w14:solidFill>
          </w14:textFill>
        </w:rPr>
      </w:pPr>
    </w:p>
    <w:p w14:paraId="67B64060">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3.4. Internetske stranice:</w:t>
      </w:r>
    </w:p>
    <w:p w14:paraId="769B9C35">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3.4.1. Upravljanje određenim sadržajima na internetskim stranicama</w:t>
      </w:r>
    </w:p>
    <w:p w14:paraId="0F160A9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p>
    <w:p w14:paraId="5194240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Upravljanje sadržajem na internetskim stranicama, te razvoj i održavanje internetskih stranica izvršavati će se sukladno smjernicama i standardima regionalne turističke zajednice. Od velike je važnosti i oglašavanje postojeće web stranice, a sve u cilju povećanja broja gostiju u destinaciji.</w:t>
      </w:r>
      <w:r>
        <w:t xml:space="preserve"> Ovakva vrsta aktivnosti i oglašavanje sve više zamjenjuje stare načine oglašavanja. Ključna prednost ovakvog oglašavanja je niža cijena od prijašnjih načina oglašavanja, moguće je precizno ciljanje željenih skupina te je lako mjerljiv povrat na investiciju. Praćenje razvoja novih trendova oglašavanja ključan je faktor uspješnog marketinga.</w:t>
      </w:r>
    </w:p>
    <w:p w14:paraId="33899B6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otoka.</w:t>
      </w:r>
    </w:p>
    <w:p w14:paraId="61D3191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71370F20">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0,00</w:t>
      </w:r>
      <w:r>
        <w:rPr>
          <w:rFonts w:eastAsiaTheme="minorHAnsi"/>
          <w:b w:val="0"/>
          <w:bCs/>
          <w: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eura</w:t>
      </w:r>
    </w:p>
    <w:p w14:paraId="3CAEFB6A">
      <w:pPr>
        <w:autoSpaceDE w:val="0"/>
        <w:autoSpaceDN w:val="0"/>
        <w:adjustRightInd w:val="0"/>
        <w:rPr>
          <w:rFonts w:eastAsiaTheme="minorHAnsi"/>
          <w:color w:val="000000" w:themeColor="text1"/>
          <w:lang w:eastAsia="en-US"/>
          <w14:textFill>
            <w14:solidFill>
              <w14:schemeClr w14:val="tx1"/>
            </w14:solidFill>
          </w14:textFill>
        </w:rPr>
      </w:pPr>
    </w:p>
    <w:p w14:paraId="1CE15CAC">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3.4.2. Razvoj i održavanje internetskih stranica</w:t>
      </w:r>
    </w:p>
    <w:p w14:paraId="7D7C5BC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 planira nastaviti sa redovitim odražavanjem Internet stranice, kao i poboljšanjem iste sukladno novim trendovima.</w:t>
      </w:r>
    </w:p>
    <w:p w14:paraId="3F5DD55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destinacije.</w:t>
      </w:r>
    </w:p>
    <w:p w14:paraId="20B2189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w:t>
      </w:r>
      <w:r>
        <w:rPr>
          <w:rFonts w:eastAsiaTheme="minorHAnsi"/>
          <w:color w:val="000000" w:themeColor="text1"/>
          <w:lang w:eastAsia="en-US"/>
          <w14:textFill>
            <w14:solidFill>
              <w14:schemeClr w14:val="tx1"/>
            </w14:solidFill>
          </w14:textFill>
        </w:rPr>
        <w:t xml:space="preserve"> TZO Sali</w:t>
      </w:r>
    </w:p>
    <w:p w14:paraId="1DCD3705">
      <w:pPr>
        <w:autoSpaceDE w:val="0"/>
        <w:autoSpaceDN w:val="0"/>
        <w:adjustRightInd w:val="0"/>
        <w:rPr>
          <w:rFonts w:eastAsiaTheme="minorHAnsi"/>
          <w:color w:val="FF0000"/>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0,00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0,00 eura</w:t>
      </w:r>
    </w:p>
    <w:p w14:paraId="499379CC">
      <w:pPr>
        <w:autoSpaceDE w:val="0"/>
        <w:autoSpaceDN w:val="0"/>
        <w:adjustRightInd w:val="0"/>
        <w:rPr>
          <w:rFonts w:eastAsiaTheme="minorHAnsi"/>
          <w:b/>
          <w:color w:val="000000" w:themeColor="text1"/>
          <w:lang w:eastAsia="en-US"/>
          <w14:textFill>
            <w14:solidFill>
              <w14:schemeClr w14:val="tx1"/>
            </w14:solidFill>
          </w14:textFill>
        </w:rPr>
      </w:pPr>
    </w:p>
    <w:p w14:paraId="1B504D27">
      <w:pPr>
        <w:autoSpaceDE w:val="0"/>
        <w:autoSpaceDN w:val="0"/>
        <w:adjustRightInd w:val="0"/>
        <w:rPr>
          <w:rFonts w:eastAsiaTheme="minorHAnsi"/>
          <w:b/>
          <w:color w:val="000000" w:themeColor="text1"/>
          <w:lang w:eastAsia="en-US"/>
          <w14:textFill>
            <w14:solidFill>
              <w14:schemeClr w14:val="tx1"/>
            </w14:solidFill>
          </w14:textFill>
        </w:rPr>
      </w:pPr>
    </w:p>
    <w:p w14:paraId="3542E2C2">
      <w:pPr>
        <w:autoSpaceDE w:val="0"/>
        <w:autoSpaceDN w:val="0"/>
        <w:adjustRightInd w:val="0"/>
        <w:rPr>
          <w:rFonts w:eastAsiaTheme="minorHAnsi"/>
          <w:b/>
          <w:color w:val="000000" w:themeColor="text1"/>
          <w:lang w:eastAsia="en-US"/>
          <w14:textFill>
            <w14:solidFill>
              <w14:schemeClr w14:val="tx1"/>
            </w14:solidFill>
          </w14:textFill>
        </w:rPr>
      </w:pPr>
    </w:p>
    <w:p w14:paraId="55AC5657">
      <w:pPr>
        <w:autoSpaceDE w:val="0"/>
        <w:autoSpaceDN w:val="0"/>
        <w:adjustRightInd w:val="0"/>
        <w:rPr>
          <w:rFonts w:eastAsiaTheme="minorHAnsi"/>
          <w:color w:val="000000" w:themeColor="text1"/>
          <w:lang w:eastAsia="en-US"/>
          <w14:textFill>
            <w14:solidFill>
              <w14:schemeClr w14:val="tx1"/>
            </w14:solidFill>
          </w14:textFill>
        </w:rPr>
      </w:pPr>
    </w:p>
    <w:p w14:paraId="3EEB1390">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3.5.Marketinške i poslovne suradnje – Udruženo oglašavanje sa sustavom TZ-a i predstavnicima tur. ponude na regionalnoj razini</w:t>
      </w:r>
    </w:p>
    <w:p w14:paraId="650E243F">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p>
    <w:p w14:paraId="1FF43A44">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Kao i prijašnjih godina nastaviti će se suradnja sa regionalnom turističkom zajednicom na udruženim marketinškim aktivnostima putem kanala strateških partnera, poglavito inozemnih avio-kompanija.</w:t>
      </w:r>
    </w:p>
    <w:p w14:paraId="171ED31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U  planu je također provesti udruženo oglašavanje sa Turističkim zajednicama zadarskog arhipelaga.</w:t>
      </w:r>
    </w:p>
    <w:p w14:paraId="5E1EF0B6">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regije i destinacije.</w:t>
      </w:r>
    </w:p>
    <w:p w14:paraId="719D0D7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 TZZŽ i HTZ i Zadarska županija, Općina</w:t>
      </w:r>
    </w:p>
    <w:p w14:paraId="6CAB0097">
      <w:pPr>
        <w:autoSpaceDE w:val="0"/>
        <w:autoSpaceDN w:val="0"/>
        <w:adjustRightInd w:val="0"/>
        <w:rPr>
          <w:rFonts w:eastAsiaTheme="minorHAnsi"/>
          <w:i/>
          <w:color w:val="FF0000"/>
          <w:lang w:eastAsia="en-US"/>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7.000,00</w:t>
      </w:r>
      <w:r>
        <w:rPr>
          <w:rFonts w:eastAsiaTheme="minorHAnsi"/>
          <w:i/>
          <w:color w:val="000000" w:themeColor="text1"/>
          <w:lang w:eastAsia="en-US"/>
          <w14:textFill>
            <w14:solidFill>
              <w14:schemeClr w14:val="tx1"/>
            </w14:solidFill>
          </w14:textFill>
        </w:rPr>
        <w:t xml:space="preserve"> eura </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7.000,00</w:t>
      </w:r>
      <w:r>
        <w:rPr>
          <w:rFonts w:eastAsiaTheme="minorHAnsi"/>
          <w:b w:val="0"/>
          <w:bCs/>
          <w: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eura</w:t>
      </w:r>
    </w:p>
    <w:p w14:paraId="5B0A3075">
      <w:pPr>
        <w:autoSpaceDE w:val="0"/>
        <w:autoSpaceDN w:val="0"/>
        <w:adjustRightInd w:val="0"/>
        <w:rPr>
          <w:rFonts w:eastAsiaTheme="minorHAnsi"/>
          <w:color w:val="000000" w:themeColor="text1"/>
          <w:lang w:eastAsia="en-US"/>
          <w14:textFill>
            <w14:solidFill>
              <w14:schemeClr w14:val="tx1"/>
            </w14:solidFill>
          </w14:textFill>
        </w:rPr>
      </w:pPr>
    </w:p>
    <w:p w14:paraId="41785C95">
      <w:pPr>
        <w:autoSpaceDE w:val="0"/>
        <w:autoSpaceDN w:val="0"/>
        <w:adjustRightInd w:val="0"/>
        <w:rPr>
          <w:rFonts w:eastAsiaTheme="minorHAnsi"/>
          <w:color w:val="000000" w:themeColor="text1"/>
          <w:lang w:eastAsia="en-US"/>
          <w14:textFill>
            <w14:solidFill>
              <w14:schemeClr w14:val="tx1"/>
            </w14:solidFill>
          </w14:textFill>
        </w:rPr>
      </w:pPr>
    </w:p>
    <w:p w14:paraId="5C7EAB58">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3.6. Kreiranje i upravljanje bazama turističkih podataka:</w:t>
      </w:r>
    </w:p>
    <w:p w14:paraId="51AEBAE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3.6.1. Uspostavljanje detaljne turističke baze podataka o ponudi i potražnji.</w:t>
      </w:r>
    </w:p>
    <w:p w14:paraId="0EEFA01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Redovito ažuriranje baze podatke o ponudi u destinaciji, kao i o potražnji.</w:t>
      </w:r>
    </w:p>
    <w:p w14:paraId="10FD0DB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Cilj je omogućiti gostima što kvalitetniji boravak.</w:t>
      </w:r>
    </w:p>
    <w:p w14:paraId="195FB0B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3C1825B1">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663,61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663,61 eura</w:t>
      </w:r>
    </w:p>
    <w:p w14:paraId="52C2FDC3">
      <w:pPr>
        <w:autoSpaceDE w:val="0"/>
        <w:autoSpaceDN w:val="0"/>
        <w:adjustRightInd w:val="0"/>
        <w:rPr>
          <w:rFonts w:eastAsiaTheme="minorHAnsi"/>
          <w:b/>
          <w:color w:val="000000" w:themeColor="text1"/>
          <w:lang w:eastAsia="en-US"/>
          <w14:textFill>
            <w14:solidFill>
              <w14:schemeClr w14:val="tx1"/>
            </w14:solidFill>
          </w14:textFill>
        </w:rPr>
      </w:pPr>
    </w:p>
    <w:p w14:paraId="34E0BFF5">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3.6.2. Otkup sadržaja, fotografija i ostalih podataka</w:t>
      </w:r>
    </w:p>
    <w:p w14:paraId="0AD71D86">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Kako bismo što kvalitetnije promovirali destinaciju, redovito obogaćujemo postojeću bazu tekstova i fotografijama sa novim.</w:t>
      </w:r>
    </w:p>
    <w:p w14:paraId="00B39C9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destinacije.</w:t>
      </w:r>
    </w:p>
    <w:p w14:paraId="75076A0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429702B6">
      <w:pPr>
        <w:autoSpaceDE w:val="0"/>
        <w:autoSpaceDN w:val="0"/>
        <w:adjustRightInd w:val="0"/>
        <w:rPr>
          <w:rFonts w:eastAsiaTheme="minorHAnsi"/>
          <w:color w:val="000000" w:themeColor="text1"/>
          <w:lang w:eastAsia="en-US"/>
          <w14:textFill>
            <w14:solidFill>
              <w14:schemeClr w14:val="tx1"/>
            </w14:solidFill>
          </w14:textFill>
        </w:rPr>
      </w:pPr>
    </w:p>
    <w:p w14:paraId="04A85910">
      <w:pPr>
        <w:autoSpaceDE w:val="0"/>
        <w:autoSpaceDN w:val="0"/>
        <w:adjustRightInd w:val="0"/>
        <w:rPr>
          <w:rFonts w:eastAsiaTheme="minorHAnsi"/>
          <w:i/>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 xml:space="preserve">0,00 eura </w:t>
      </w:r>
      <w:r>
        <w:rPr>
          <w:rFonts w:eastAsiaTheme="minorHAnsi"/>
          <w:i/>
          <w:color w:val="FF0000"/>
          <w:lang w:eastAsia="en-US"/>
        </w:rPr>
        <w:tab/>
      </w:r>
      <w:r>
        <w:rPr>
          <w:rFonts w:eastAsiaTheme="minorHAnsi"/>
          <w:i/>
          <w:color w:val="FF0000"/>
          <w:lang w:eastAsia="en-US"/>
        </w:rPr>
        <w:tab/>
      </w:r>
      <w:r>
        <w:rPr>
          <w:rFonts w:eastAsiaTheme="minorHAnsi"/>
          <w:b/>
          <w:lang w:eastAsia="en-US"/>
        </w:rPr>
        <w:t xml:space="preserve">Ostvareno: </w:t>
      </w:r>
      <w:r>
        <w:rPr>
          <w:rFonts w:eastAsiaTheme="minorHAnsi"/>
          <w:i/>
          <w:lang w:eastAsia="en-US"/>
        </w:rPr>
        <w:t>0,00 eura</w:t>
      </w:r>
    </w:p>
    <w:p w14:paraId="4398C2D8">
      <w:pPr>
        <w:autoSpaceDE w:val="0"/>
        <w:autoSpaceDN w:val="0"/>
        <w:adjustRightInd w:val="0"/>
        <w:rPr>
          <w:rFonts w:eastAsiaTheme="minorHAnsi"/>
          <w:b/>
          <w:lang w:eastAsia="en-US"/>
        </w:rPr>
      </w:pPr>
    </w:p>
    <w:p w14:paraId="6572717C">
      <w:pPr>
        <w:autoSpaceDE w:val="0"/>
        <w:autoSpaceDN w:val="0"/>
        <w:adjustRightInd w:val="0"/>
        <w:rPr>
          <w:rFonts w:eastAsiaTheme="minorHAnsi"/>
          <w:b/>
          <w:lang w:eastAsia="en-US"/>
        </w:rPr>
      </w:pPr>
      <w:r>
        <w:rPr>
          <w:rFonts w:eastAsiaTheme="minorHAnsi"/>
          <w:b/>
          <w:lang w:eastAsia="en-US"/>
        </w:rPr>
        <w:t>Realiziran je novi film/video Zadar ArchipelaGO</w:t>
      </w:r>
    </w:p>
    <w:p w14:paraId="38DF3FE1">
      <w:pPr>
        <w:autoSpaceDE w:val="0"/>
        <w:autoSpaceDN w:val="0"/>
        <w:adjustRightInd w:val="0"/>
        <w:rPr>
          <w:rFonts w:eastAsiaTheme="minorHAnsi"/>
          <w:color w:val="000000" w:themeColor="text1"/>
          <w:lang w:eastAsia="en-US"/>
          <w14:textFill>
            <w14:solidFill>
              <w14:schemeClr w14:val="tx1"/>
            </w14:solidFill>
          </w14:textFill>
        </w:rPr>
      </w:pPr>
    </w:p>
    <w:p w14:paraId="1FCB47CD">
      <w:pPr>
        <w:autoSpaceDE w:val="0"/>
        <w:autoSpaceDN w:val="0"/>
        <w:adjustRightInd w:val="0"/>
        <w:rPr>
          <w:rFonts w:eastAsiaTheme="minorHAnsi"/>
          <w:b/>
          <w:color w:val="000000" w:themeColor="text1"/>
          <w:lang w:eastAsia="en-US"/>
          <w14:textFill>
            <w14:solidFill>
              <w14:schemeClr w14:val="tx1"/>
            </w14:solidFill>
          </w14:textFill>
        </w:rPr>
      </w:pPr>
    </w:p>
    <w:p w14:paraId="77F2FF1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3.6.3. Priprema, sortiranje i slanje podataka o turističkoj ponudi na području destinacije u regionalnu turističku zajednicu i Hrvatsku turističku zajednicu</w:t>
      </w:r>
    </w:p>
    <w:p w14:paraId="0168975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Precizan i detaljan opis aktivnosti: </w:t>
      </w:r>
      <w:r>
        <w:rPr>
          <w:rFonts w:eastAsiaTheme="minorHAnsi"/>
          <w:color w:val="000000" w:themeColor="text1"/>
          <w:lang w:eastAsia="en-US"/>
          <w14:textFill>
            <w14:solidFill>
              <w14:schemeClr w14:val="tx1"/>
            </w14:solidFill>
          </w14:textFill>
        </w:rPr>
        <w:t>Redovito obavljamo poslove pripreme, sortiranja i slanja podataka o turističkoj ponudi na području destinacije u regionalnu turističku zajednicu i Hrvatsku turističku zajednicu</w:t>
      </w:r>
    </w:p>
    <w:p w14:paraId="56619F4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mjesta.</w:t>
      </w:r>
    </w:p>
    <w:p w14:paraId="45E731A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 aktivnosti i partneri: </w:t>
      </w:r>
      <w:r>
        <w:rPr>
          <w:rFonts w:eastAsiaTheme="minorHAnsi"/>
          <w:color w:val="000000" w:themeColor="text1"/>
          <w:lang w:eastAsia="en-US"/>
          <w14:textFill>
            <w14:solidFill>
              <w14:schemeClr w14:val="tx1"/>
            </w14:solidFill>
          </w14:textFill>
        </w:rPr>
        <w:t>TZ, TZZŽ, HTZ</w:t>
      </w:r>
    </w:p>
    <w:p w14:paraId="2C952F9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0,00 eura</w:t>
      </w:r>
    </w:p>
    <w:p w14:paraId="3060E5F2">
      <w:pPr>
        <w:autoSpaceDE w:val="0"/>
        <w:autoSpaceDN w:val="0"/>
        <w:adjustRightInd w:val="0"/>
        <w:rPr>
          <w:rFonts w:eastAsiaTheme="minorHAnsi"/>
          <w:b/>
          <w:color w:val="000000" w:themeColor="text1"/>
          <w:lang w:eastAsia="en-US"/>
          <w14:textFill>
            <w14:solidFill>
              <w14:schemeClr w14:val="tx1"/>
            </w14:solidFill>
          </w14:textFill>
        </w:rPr>
      </w:pPr>
    </w:p>
    <w:p w14:paraId="1048F13B">
      <w:pPr>
        <w:autoSpaceDE w:val="0"/>
        <w:autoSpaceDN w:val="0"/>
        <w:adjustRightInd w:val="0"/>
        <w:rPr>
          <w:rFonts w:eastAsiaTheme="minorHAnsi"/>
          <w:color w:val="000000" w:themeColor="text1"/>
          <w:lang w:eastAsia="en-US"/>
          <w14:textFill>
            <w14:solidFill>
              <w14:schemeClr w14:val="tx1"/>
            </w14:solidFill>
          </w14:textFill>
        </w:rPr>
      </w:pPr>
    </w:p>
    <w:p w14:paraId="2A4A4454">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3.7. Turističko-informativne aktivnosti:</w:t>
      </w:r>
    </w:p>
    <w:p w14:paraId="7E16C35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3.7.1. Upravljanje TIC-evima (funkcioniranje Turističko-informativnog centra uključujući plaće turističkih informatora, troškove najma prostora i sl.)</w:t>
      </w:r>
    </w:p>
    <w:p w14:paraId="721476D1">
      <w:pPr>
        <w:autoSpaceDE w:val="0"/>
        <w:autoSpaceDN w:val="0"/>
        <w:adjustRightInd w:val="0"/>
        <w:rPr>
          <w:rFonts w:eastAsiaTheme="minorHAnsi"/>
          <w:b/>
          <w:color w:val="000000" w:themeColor="text1"/>
          <w:lang w:eastAsia="en-US"/>
          <w14:textFill>
            <w14:solidFill>
              <w14:schemeClr w14:val="tx1"/>
            </w14:solidFill>
          </w14:textFill>
        </w:rPr>
      </w:pPr>
    </w:p>
    <w:p w14:paraId="3AF47D71">
      <w:pPr>
        <w:pStyle w:val="13"/>
        <w:numPr>
          <w:ilvl w:val="0"/>
          <w:numId w:val="7"/>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Djelovanje sezonskih ureda (TIC-eva) u Salima i Brbinju</w:t>
      </w:r>
    </w:p>
    <w:p w14:paraId="013B54E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Obavljanje sezonskih poslova u Turističko-informativnom centru, opremanje i uređivanje ureda.</w:t>
      </w:r>
    </w:p>
    <w:p w14:paraId="412F9B4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Informiranost iznajmljivača i gostiju.</w:t>
      </w:r>
    </w:p>
    <w:p w14:paraId="6C4EFB9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w:t>
      </w:r>
    </w:p>
    <w:p w14:paraId="35D9E58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hint="default" w:eastAsiaTheme="minorHAnsi"/>
          <w:i/>
          <w:color w:val="000000" w:themeColor="text1"/>
          <w:lang w:val="hr-HR" w:eastAsia="en-US"/>
          <w14:textFill>
            <w14:solidFill>
              <w14:schemeClr w14:val="tx1"/>
            </w14:solidFill>
          </w14:textFill>
        </w:rPr>
        <w:t>20.000</w:t>
      </w:r>
      <w:r>
        <w:rPr>
          <w:rFonts w:eastAsiaTheme="minorHAnsi"/>
          <w:i/>
          <w:color w:val="000000" w:themeColor="text1"/>
          <w:lang w:eastAsia="en-US"/>
          <w14:textFill>
            <w14:solidFill>
              <w14:schemeClr w14:val="tx1"/>
            </w14:solidFill>
          </w14:textFill>
        </w:rPr>
        <w:t>,00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i/>
          <w:color w:val="000000" w:themeColor="text1"/>
          <w:lang w:val="hr-HR" w:eastAsia="en-US"/>
          <w14:textFill>
            <w14:solidFill>
              <w14:schemeClr w14:val="tx1"/>
            </w14:solidFill>
          </w14:textFill>
        </w:rPr>
        <w:t>20.000,</w:t>
      </w:r>
      <w:r>
        <w:rPr>
          <w:rFonts w:eastAsiaTheme="minorHAnsi"/>
          <w:i/>
          <w:color w:val="000000" w:themeColor="text1"/>
          <w:lang w:eastAsia="en-US"/>
          <w14:textFill>
            <w14:solidFill>
              <w14:schemeClr w14:val="tx1"/>
            </w14:solidFill>
          </w14:textFill>
        </w:rPr>
        <w:t>00 eura</w:t>
      </w:r>
    </w:p>
    <w:p w14:paraId="3BE8731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Rokovi realizacije aktivnosti: </w:t>
      </w:r>
      <w:r>
        <w:rPr>
          <w:rFonts w:eastAsiaTheme="minorHAnsi"/>
          <w:color w:val="000000" w:themeColor="text1"/>
          <w:lang w:eastAsia="en-US"/>
          <w14:textFill>
            <w14:solidFill>
              <w14:schemeClr w14:val="tx1"/>
            </w14:solidFill>
          </w14:textFill>
        </w:rPr>
        <w:t>lipanj-rujan 202</w:t>
      </w:r>
      <w:r>
        <w:rPr>
          <w:rFonts w:hint="default" w:eastAsiaTheme="minorHAnsi"/>
          <w:color w:val="000000" w:themeColor="text1"/>
          <w:lang w:val="hr-HR" w:eastAsia="en-US"/>
          <w14:textFill>
            <w14:solidFill>
              <w14:schemeClr w14:val="tx1"/>
            </w14:solidFill>
          </w14:textFill>
        </w:rPr>
        <w:t>5</w:t>
      </w:r>
      <w:r>
        <w:rPr>
          <w:rFonts w:eastAsiaTheme="minorHAnsi"/>
          <w:color w:val="000000" w:themeColor="text1"/>
          <w:lang w:eastAsia="en-US"/>
          <w14:textFill>
            <w14:solidFill>
              <w14:schemeClr w14:val="tx1"/>
            </w14:solidFill>
          </w14:textFill>
        </w:rPr>
        <w:t>.</w:t>
      </w:r>
    </w:p>
    <w:p w14:paraId="7ED9C055">
      <w:pPr>
        <w:autoSpaceDE w:val="0"/>
        <w:autoSpaceDN w:val="0"/>
        <w:adjustRightInd w:val="0"/>
        <w:rPr>
          <w:rFonts w:eastAsiaTheme="minorHAnsi"/>
          <w:color w:val="000000" w:themeColor="text1"/>
          <w:lang w:eastAsia="en-US"/>
          <w14:textFill>
            <w14:solidFill>
              <w14:schemeClr w14:val="tx1"/>
            </w14:solidFill>
          </w14:textFill>
        </w:rPr>
      </w:pPr>
    </w:p>
    <w:p w14:paraId="04FCAF2A">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3.7.2. Upravljanje Centrima za posjetitelje/interpretacijskim centrima</w:t>
      </w:r>
    </w:p>
    <w:p w14:paraId="3C96672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Nakon završenog projekta Interpretacijsko edukacijski centar Grpašćak Turistička zajednica će u suradnji sa Parkom pratiti i analizirati posjetitelje Centra.</w:t>
      </w:r>
    </w:p>
    <w:p w14:paraId="3E8D003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Poboljšanje uvjeta boravka turista</w:t>
      </w:r>
    </w:p>
    <w:p w14:paraId="4DEC3F9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PP Telašćica</w:t>
      </w:r>
    </w:p>
    <w:p w14:paraId="5999E609">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0,00 eura</w:t>
      </w:r>
    </w:p>
    <w:p w14:paraId="5AF955B2">
      <w:pPr>
        <w:autoSpaceDE w:val="0"/>
        <w:autoSpaceDN w:val="0"/>
        <w:adjustRightInd w:val="0"/>
        <w:rPr>
          <w:rFonts w:eastAsiaTheme="minorHAnsi"/>
          <w:color w:val="000000" w:themeColor="text1"/>
          <w:lang w:eastAsia="en-US"/>
          <w14:textFill>
            <w14:solidFill>
              <w14:schemeClr w14:val="tx1"/>
            </w14:solidFill>
          </w14:textFill>
        </w:rPr>
      </w:pPr>
    </w:p>
    <w:p w14:paraId="78142B74">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3.7.3. Postavljanje infopunktova te postavljanje i održavanje turističke signalizacije samostalno i/ili u suradnji s jedinicom lokalne samouprave</w:t>
      </w:r>
    </w:p>
    <w:p w14:paraId="66216B1C">
      <w:pPr>
        <w:pStyle w:val="13"/>
        <w:numPr>
          <w:ilvl w:val="0"/>
          <w:numId w:val="7"/>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Infopunkt</w:t>
      </w:r>
    </w:p>
    <w:p w14:paraId="6E2D943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Opis aktivnosti: </w:t>
      </w:r>
      <w:r>
        <w:rPr>
          <w:rFonts w:eastAsiaTheme="minorHAnsi"/>
          <w:color w:val="000000" w:themeColor="text1"/>
          <w:lang w:eastAsia="en-US"/>
          <w14:textFill>
            <w14:solidFill>
              <w14:schemeClr w14:val="tx1"/>
            </w14:solidFill>
          </w14:textFill>
        </w:rPr>
        <w:t xml:space="preserve">TZ je u 2020 aplicirala na natječaj EU fondova preko Lagur plodovi mora – Operativni program za pomorstvo i ribarstvo sa projektom Saljske užance. U sklopu Natječaja </w:t>
      </w:r>
      <w:r>
        <w:rPr>
          <w:rFonts w:hint="default" w:eastAsiaTheme="minorHAnsi"/>
          <w:color w:val="000000" w:themeColor="text1"/>
          <w:lang w:val="hr-HR" w:eastAsia="en-US"/>
          <w14:textFill>
            <w14:solidFill>
              <w14:schemeClr w14:val="tx1"/>
            </w14:solidFill>
          </w14:textFill>
        </w:rPr>
        <w:t>n</w:t>
      </w:r>
      <w:r>
        <w:rPr>
          <w:rFonts w:eastAsiaTheme="minorHAnsi"/>
          <w:color w:val="000000" w:themeColor="text1"/>
          <w:lang w:eastAsia="en-US"/>
          <w14:textFill>
            <w14:solidFill>
              <w14:schemeClr w14:val="tx1"/>
            </w14:solidFill>
          </w14:textFill>
        </w:rPr>
        <w:t>abav</w:t>
      </w:r>
      <w:r>
        <w:rPr>
          <w:rFonts w:hint="default" w:eastAsiaTheme="minorHAnsi"/>
          <w:color w:val="000000" w:themeColor="text1"/>
          <w:lang w:val="hr-HR" w:eastAsia="en-US"/>
          <w14:textFill>
            <w14:solidFill>
              <w14:schemeClr w14:val="tx1"/>
            </w14:solidFill>
          </w14:textFill>
        </w:rPr>
        <w:t>ljen je</w:t>
      </w:r>
      <w:r>
        <w:rPr>
          <w:rFonts w:eastAsiaTheme="minorHAnsi"/>
          <w:color w:val="000000" w:themeColor="text1"/>
          <w:lang w:eastAsia="en-US"/>
          <w14:textFill>
            <w14:solidFill>
              <w14:schemeClr w14:val="tx1"/>
            </w14:solidFill>
          </w14:textFill>
        </w:rPr>
        <w:t xml:space="preserve"> info punkt </w:t>
      </w:r>
      <w:r>
        <w:rPr>
          <w:rFonts w:hint="default" w:eastAsiaTheme="minorHAnsi"/>
          <w:color w:val="000000" w:themeColor="text1"/>
          <w:lang w:val="hr-HR" w:eastAsia="en-US"/>
          <w14:textFill>
            <w14:solidFill>
              <w14:schemeClr w14:val="tx1"/>
            </w14:solidFill>
          </w14:textFill>
        </w:rPr>
        <w:t>i za</w:t>
      </w:r>
      <w:r>
        <w:rPr>
          <w:rFonts w:eastAsiaTheme="minorHAnsi"/>
          <w:color w:val="000000" w:themeColor="text1"/>
          <w:lang w:eastAsia="en-US"/>
          <w14:textFill>
            <w14:solidFill>
              <w14:schemeClr w14:val="tx1"/>
            </w14:solidFill>
          </w14:textFill>
        </w:rPr>
        <w:t xml:space="preserve">  mjesto Sali (luka), realizirana je aplikacija.</w:t>
      </w:r>
    </w:p>
    <w:p w14:paraId="026FCF1E">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Informiranost posjetitelja i upoznavanje sa kulturnom i prirodnom baštinom na otoku. Omogućen pristup internet, a iznajmljivačima pristup eVisitoru.</w:t>
      </w:r>
    </w:p>
    <w:p w14:paraId="0FE890B2">
      <w:pPr>
        <w:autoSpaceDE w:val="0"/>
        <w:autoSpaceDN w:val="0"/>
        <w:adjustRightInd w:val="0"/>
        <w:rPr>
          <w:rFonts w:hint="default" w:eastAsiaTheme="minorHAnsi"/>
          <w:i/>
          <w:color w:val="FF0000"/>
          <w:lang w:val="hr-HR"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eura</w:t>
      </w:r>
      <w:r>
        <w:rPr>
          <w:rFonts w:eastAsiaTheme="minorHAnsi"/>
          <w:i/>
          <w:color w:val="FF0000"/>
          <w:lang w:eastAsia="en-US"/>
        </w:rPr>
        <w:t xml:space="preserve"> </w:t>
      </w:r>
      <w:r>
        <w:rPr>
          <w:rFonts w:eastAsiaTheme="minorHAnsi"/>
          <w:i/>
          <w:color w:val="FF0000"/>
          <w:lang w:eastAsia="en-US"/>
        </w:rPr>
        <w:tab/>
      </w:r>
      <w:r>
        <w:rPr>
          <w:rFonts w:eastAsiaTheme="minorHAnsi"/>
          <w:i/>
          <w:color w:val="FF0000"/>
          <w:lang w:eastAsia="en-US"/>
        </w:rPr>
        <w:tab/>
      </w:r>
      <w:r>
        <w:rPr>
          <w:rFonts w:eastAsiaTheme="minorHAnsi"/>
          <w:lang w:eastAsia="en-US"/>
        </w:rPr>
        <w:t xml:space="preserve">Ostvareno: </w:t>
      </w:r>
      <w:r>
        <w:rPr>
          <w:rFonts w:hint="default" w:eastAsiaTheme="minorHAnsi"/>
          <w:lang w:val="hr-HR" w:eastAsia="en-US"/>
        </w:rPr>
        <w:t>0,00 eura</w:t>
      </w:r>
    </w:p>
    <w:p w14:paraId="3CB1A7CB">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Rokovi realizacije aktivnosti</w:t>
      </w:r>
      <w:r>
        <w:rPr>
          <w:rFonts w:eastAsiaTheme="minorHAnsi"/>
          <w:color w:val="000000" w:themeColor="text1"/>
          <w:lang w:eastAsia="en-US"/>
          <w14:textFill>
            <w14:solidFill>
              <w14:schemeClr w14:val="tx1"/>
            </w14:solidFill>
          </w14:textFill>
        </w:rPr>
        <w:t>:  202</w:t>
      </w:r>
      <w:r>
        <w:rPr>
          <w:rFonts w:hint="default" w:eastAsiaTheme="minorHAnsi"/>
          <w:color w:val="000000" w:themeColor="text1"/>
          <w:lang w:val="hr-HR" w:eastAsia="en-US"/>
          <w14:textFill>
            <w14:solidFill>
              <w14:schemeClr w14:val="tx1"/>
            </w14:solidFill>
          </w14:textFill>
        </w:rPr>
        <w:t>5</w:t>
      </w:r>
    </w:p>
    <w:p w14:paraId="24138F4C">
      <w:pPr>
        <w:autoSpaceDE w:val="0"/>
        <w:autoSpaceDN w:val="0"/>
        <w:adjustRightInd w:val="0"/>
        <w:rPr>
          <w:rFonts w:eastAsiaTheme="minorHAnsi"/>
          <w:b/>
          <w:color w:val="000000" w:themeColor="text1"/>
          <w:lang w:eastAsia="en-US"/>
          <w14:textFill>
            <w14:solidFill>
              <w14:schemeClr w14:val="tx1"/>
            </w14:solidFill>
          </w14:textFill>
        </w:rPr>
      </w:pPr>
    </w:p>
    <w:p w14:paraId="12A0C78C">
      <w:pPr>
        <w:pStyle w:val="13"/>
        <w:numPr>
          <w:ilvl w:val="0"/>
          <w:numId w:val="7"/>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Informativna tabela</w:t>
      </w:r>
    </w:p>
    <w:p w14:paraId="5B41F66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Precizan i detaljan opis aktivnosti: </w:t>
      </w:r>
      <w:r>
        <w:rPr>
          <w:rFonts w:eastAsiaTheme="minorHAnsi"/>
          <w:color w:val="000000" w:themeColor="text1"/>
          <w:lang w:eastAsia="en-US"/>
          <w14:textFill>
            <w14:solidFill>
              <w14:schemeClr w14:val="tx1"/>
            </w14:solidFill>
          </w14:textFill>
        </w:rPr>
        <w:t xml:space="preserve">Turistička zajednica će za označavanje atrakcija i kulturnih znamenitosti postaviti nove ili obnoviti postojeće table smeđe signalizacije. </w:t>
      </w:r>
    </w:p>
    <w:p w14:paraId="55075FA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Poboljšanje uvjeta boravka turista</w:t>
      </w:r>
    </w:p>
    <w:p w14:paraId="70BA00B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Općina, Komunalno poduzeće</w:t>
      </w:r>
    </w:p>
    <w:p w14:paraId="3F412049">
      <w:pPr>
        <w:autoSpaceDE w:val="0"/>
        <w:autoSpaceDN w:val="0"/>
        <w:adjustRightInd w:val="0"/>
        <w:rPr>
          <w:rFonts w:hint="default" w:eastAsiaTheme="minorHAnsi"/>
          <w: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 xml:space="preserve">0,00 </w:t>
      </w:r>
      <w:r>
        <w:rPr>
          <w:rFonts w:hint="default" w:eastAsiaTheme="minorHAnsi"/>
          <w:i/>
          <w:color w:val="000000" w:themeColor="text1"/>
          <w:lang w:val="hr-HR" w:eastAsia="en-US"/>
          <w14:textFill>
            <w14:solidFill>
              <w14:schemeClr w14:val="tx1"/>
            </w14:solidFill>
          </w14:textFill>
        </w:rPr>
        <w:t>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 xml:space="preserve">0,00 </w:t>
      </w:r>
      <w:r>
        <w:rPr>
          <w:rFonts w:hint="default" w:eastAsiaTheme="minorHAnsi"/>
          <w:i/>
          <w:color w:val="000000" w:themeColor="text1"/>
          <w:lang w:val="hr-HR" w:eastAsia="en-US"/>
          <w14:textFill>
            <w14:solidFill>
              <w14:schemeClr w14:val="tx1"/>
            </w14:solidFill>
          </w14:textFill>
        </w:rPr>
        <w:t>eura</w:t>
      </w:r>
    </w:p>
    <w:p w14:paraId="58DCB90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Rokovi realizacije aktivnosti: </w:t>
      </w:r>
      <w:r>
        <w:rPr>
          <w:rFonts w:eastAsiaTheme="minorHAnsi"/>
          <w:color w:val="000000" w:themeColor="text1"/>
          <w:lang w:eastAsia="en-US"/>
          <w14:textFill>
            <w14:solidFill>
              <w14:schemeClr w14:val="tx1"/>
            </w14:solidFill>
          </w14:textFill>
        </w:rPr>
        <w:t>202</w:t>
      </w:r>
      <w:r>
        <w:rPr>
          <w:rFonts w:hint="default" w:eastAsiaTheme="minorHAnsi"/>
          <w:color w:val="000000" w:themeColor="text1"/>
          <w:lang w:val="hr-HR" w:eastAsia="en-US"/>
          <w14:textFill>
            <w14:solidFill>
              <w14:schemeClr w14:val="tx1"/>
            </w14:solidFill>
          </w14:textFill>
        </w:rPr>
        <w:t>5</w:t>
      </w:r>
      <w:r>
        <w:rPr>
          <w:rFonts w:eastAsiaTheme="minorHAnsi"/>
          <w:color w:val="000000" w:themeColor="text1"/>
          <w:lang w:eastAsia="en-US"/>
          <w14:textFill>
            <w14:solidFill>
              <w14:schemeClr w14:val="tx1"/>
            </w14:solidFill>
          </w14:textFill>
        </w:rPr>
        <w:t>.</w:t>
      </w:r>
    </w:p>
    <w:p w14:paraId="2B28AE86">
      <w:pPr>
        <w:autoSpaceDE w:val="0"/>
        <w:autoSpaceDN w:val="0"/>
        <w:adjustRightInd w:val="0"/>
        <w:rPr>
          <w:rFonts w:eastAsiaTheme="minorHAnsi"/>
          <w:b/>
          <w:color w:val="000000" w:themeColor="text1"/>
          <w:lang w:eastAsia="en-US"/>
          <w14:textFill>
            <w14:solidFill>
              <w14:schemeClr w14:val="tx1"/>
            </w14:solidFill>
          </w14:textFill>
        </w:rPr>
      </w:pPr>
    </w:p>
    <w:p w14:paraId="381CC5A1">
      <w:pPr>
        <w:autoSpaceDE w:val="0"/>
        <w:autoSpaceDN w:val="0"/>
        <w:adjustRightInd w:val="0"/>
        <w:rPr>
          <w:rFonts w:eastAsiaTheme="minorHAnsi"/>
          <w:b/>
          <w:color w:val="000000" w:themeColor="text1"/>
          <w:lang w:eastAsia="en-US"/>
          <w14:textFill>
            <w14:solidFill>
              <w14:schemeClr w14:val="tx1"/>
            </w14:solidFill>
          </w14:textFill>
        </w:rPr>
      </w:pPr>
    </w:p>
    <w:p w14:paraId="63CA3970">
      <w:pPr>
        <w:autoSpaceDE w:val="0"/>
        <w:autoSpaceDN w:val="0"/>
        <w:adjustRightInd w:val="0"/>
        <w:rPr>
          <w:rFonts w:eastAsiaTheme="minorHAnsi"/>
          <w:b/>
          <w:color w:val="000000" w:themeColor="text1"/>
          <w:lang w:eastAsia="en-US"/>
          <w14:textFill>
            <w14:solidFill>
              <w14:schemeClr w14:val="tx1"/>
            </w14:solidFill>
          </w14:textFill>
        </w:rPr>
      </w:pPr>
    </w:p>
    <w:p w14:paraId="6CBCDF96">
      <w:pPr>
        <w:autoSpaceDE w:val="0"/>
        <w:autoSpaceDN w:val="0"/>
        <w:adjustRightInd w:val="0"/>
        <w:rPr>
          <w:rFonts w:eastAsiaTheme="minorHAnsi"/>
          <w:b/>
          <w:color w:val="000000" w:themeColor="text1"/>
          <w:lang w:eastAsia="en-US"/>
          <w14:textFill>
            <w14:solidFill>
              <w14:schemeClr w14:val="tx1"/>
            </w14:solidFill>
          </w14:textFill>
        </w:rPr>
      </w:pPr>
    </w:p>
    <w:p w14:paraId="3685841E">
      <w:pPr>
        <w:autoSpaceDE w:val="0"/>
        <w:autoSpaceDN w:val="0"/>
        <w:adjustRightInd w:val="0"/>
        <w:rPr>
          <w:rFonts w:eastAsiaTheme="minorHAnsi"/>
          <w:b/>
          <w:color w:val="000000" w:themeColor="text1"/>
          <w:lang w:eastAsia="en-US"/>
          <w14:textFill>
            <w14:solidFill>
              <w14:schemeClr w14:val="tx1"/>
            </w14:solidFill>
          </w14:textFill>
        </w:rPr>
      </w:pPr>
    </w:p>
    <w:p w14:paraId="1D7925B4">
      <w:pPr>
        <w:autoSpaceDE w:val="0"/>
        <w:autoSpaceDN w:val="0"/>
        <w:adjustRightInd w:val="0"/>
        <w:rPr>
          <w:rFonts w:eastAsiaTheme="minorHAnsi"/>
          <w:b/>
          <w:color w:val="000000" w:themeColor="text1"/>
          <w:lang w:eastAsia="en-US"/>
          <w14:textFill>
            <w14:solidFill>
              <w14:schemeClr w14:val="tx1"/>
            </w14:solidFill>
          </w14:textFill>
        </w:rPr>
      </w:pPr>
    </w:p>
    <w:p w14:paraId="3FBC6208">
      <w:pPr>
        <w:autoSpaceDE w:val="0"/>
        <w:autoSpaceDN w:val="0"/>
        <w:adjustRightInd w:val="0"/>
        <w:rPr>
          <w:rFonts w:eastAsiaTheme="minorHAnsi"/>
          <w:b/>
          <w:color w:val="000000" w:themeColor="text1"/>
          <w:lang w:eastAsia="en-US"/>
          <w14:textFill>
            <w14:solidFill>
              <w14:schemeClr w14:val="tx1"/>
            </w14:solidFill>
          </w14:textFill>
        </w:rPr>
      </w:pPr>
    </w:p>
    <w:p w14:paraId="102DF1B5">
      <w:pPr>
        <w:autoSpaceDE w:val="0"/>
        <w:autoSpaceDN w:val="0"/>
        <w:adjustRightInd w:val="0"/>
        <w:rPr>
          <w:rFonts w:eastAsiaTheme="minorHAnsi"/>
          <w:b/>
          <w:color w:val="000000" w:themeColor="text1"/>
          <w:lang w:eastAsia="en-US"/>
          <w14:textFill>
            <w14:solidFill>
              <w14:schemeClr w14:val="tx1"/>
            </w14:solidFill>
          </w14:textFill>
        </w:rPr>
      </w:pPr>
    </w:p>
    <w:p w14:paraId="2B44BF0E">
      <w:pPr>
        <w:pStyle w:val="13"/>
        <w:numPr>
          <w:ilvl w:val="0"/>
          <w:numId w:val="5"/>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DESTINACIJSKI MENADŽMENT</w:t>
      </w:r>
    </w:p>
    <w:p w14:paraId="644F3FF9">
      <w:pPr>
        <w:rPr>
          <w:b/>
          <w:color w:val="000000" w:themeColor="text1"/>
          <w14:textFill>
            <w14:solidFill>
              <w14:schemeClr w14:val="tx1"/>
            </w14:solidFill>
          </w14:textFill>
        </w:rPr>
      </w:pPr>
    </w:p>
    <w:p w14:paraId="2271539A">
      <w:pPr>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4.1. Turistički informacijski sustavi i aplikacije /eVisitor:</w:t>
      </w:r>
    </w:p>
    <w:p w14:paraId="512F532D">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5978D696">
      <w:pPr>
        <w:rPr>
          <w:b/>
          <w:bCs/>
          <w:color w:val="003764"/>
          <w:sz w:val="28"/>
          <w:szCs w:val="28"/>
          <w:highlight w:val="yellow"/>
        </w:rPr>
      </w:pPr>
    </w:p>
    <w:p w14:paraId="14C378F7">
      <w:pPr>
        <w:jc w:val="both"/>
        <w:rPr>
          <w:b/>
        </w:rPr>
      </w:pPr>
      <w:r>
        <w:rPr>
          <w:b/>
        </w:rPr>
        <w:t>4.1.1Sudjelovanje u razvoju i upravljanju sustavom eVisitor i ostalim turističkim informacijskim sustavima sukladno uputama Hrvatske turističke zajednice kao što su: jedinstveni turistički informacijski portal te evidencija svih oblika turističke ponude/atrakcija na području županije/regije</w:t>
      </w:r>
    </w:p>
    <w:p w14:paraId="20273826">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 će nastaviti</w:t>
      </w:r>
      <w:r>
        <w:rPr>
          <w:rFonts w:eastAsiaTheme="minorHAnsi"/>
          <w:b/>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sudjelovati u razvoju i upravljanju sustavom eVisitor i ostalim turističkim informacijskim sustavima.</w:t>
      </w:r>
    </w:p>
    <w:p w14:paraId="747F4109">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Jedinstveno vođenje evidencije statističkih podataka</w:t>
      </w:r>
    </w:p>
    <w:p w14:paraId="7281F51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TZZŽ, HTZ</w:t>
      </w:r>
    </w:p>
    <w:p w14:paraId="565292B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p>
    <w:p w14:paraId="51B92FEF">
      <w:pPr>
        <w:autoSpaceDE w:val="0"/>
        <w:autoSpaceDN w:val="0"/>
        <w:adjustRightInd w:val="0"/>
        <w:rPr>
          <w:rFonts w:eastAsiaTheme="minorHAnsi"/>
          <w:b/>
          <w:color w:val="000000" w:themeColor="text1"/>
          <w:lang w:eastAsia="en-US"/>
          <w14:textFill>
            <w14:solidFill>
              <w14:schemeClr w14:val="tx1"/>
            </w14:solidFill>
          </w14:textFill>
        </w:rPr>
      </w:pPr>
    </w:p>
    <w:p w14:paraId="1A7C0D0A">
      <w:pPr>
        <w:autoSpaceDE w:val="0"/>
        <w:autoSpaceDN w:val="0"/>
        <w:adjustRightInd w:val="0"/>
        <w:rPr>
          <w:rFonts w:eastAsiaTheme="minorHAnsi"/>
          <w:b/>
          <w:color w:val="000000" w:themeColor="text1"/>
          <w:lang w:eastAsia="en-US"/>
          <w14:textFill>
            <w14:solidFill>
              <w14:schemeClr w14:val="tx1"/>
            </w14:solidFill>
          </w14:textFill>
        </w:rPr>
      </w:pPr>
    </w:p>
    <w:p w14:paraId="736C9D36">
      <w:pPr>
        <w:autoSpaceDE w:val="0"/>
        <w:autoSpaceDN w:val="0"/>
        <w:adjustRightInd w:val="0"/>
        <w:rPr>
          <w:rFonts w:eastAsiaTheme="minorHAnsi"/>
          <w:b/>
          <w:color w:val="000000" w:themeColor="text1"/>
          <w:lang w:eastAsia="en-US"/>
          <w14:textFill>
            <w14:solidFill>
              <w14:schemeClr w14:val="tx1"/>
            </w14:solidFill>
          </w14:textFill>
        </w:rPr>
      </w:pPr>
    </w:p>
    <w:p w14:paraId="0EBDBF09">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4.1.2.Sudjelovanje u razvoju sustava poslovne inteligencije</w:t>
      </w:r>
    </w:p>
    <w:p w14:paraId="2C5CD75C">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4A7F4CDE">
      <w:r>
        <w:t xml:space="preserve">Planira se nastavak rada na aplikaciji Pointers koja je pokrenuta 2017. godine kao zajednički projekt zajedno  sa TZM Božava i PP Telašćica. Korisnik se detaljno može informirati sa informacijama i sadržajima koje nudi destinacija a koji odgovaraju njegovim osobnim interesima. Sadržava sve komercijalne i nekomercijalne sadržaje, objedinjuje najpopularnije društvene mreže te pokriva web prostor s Internet stranicom koja je mobilno prilagođena. U 2021. godini planira se ažuriranje i nadopuna podataka.   </w:t>
      </w:r>
    </w:p>
    <w:p w14:paraId="3489C8F6">
      <w:r>
        <w:rPr>
          <w:rFonts w:eastAsiaTheme="minorHAnsi"/>
          <w:b/>
          <w:color w:val="000000" w:themeColor="text1"/>
          <w:lang w:eastAsia="en-US"/>
          <w14:textFill>
            <w14:solidFill>
              <w14:schemeClr w14:val="tx1"/>
            </w14:solidFill>
          </w14:textFill>
        </w:rPr>
        <w:t xml:space="preserve">Cilj aktivnosti: </w:t>
      </w:r>
      <w:r>
        <w:t>stvaranja osobnog vodiča po kriterijima svjetskih standarda.</w:t>
      </w:r>
    </w:p>
    <w:p w14:paraId="5D675271">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TZM Božava, PP Telašćica</w:t>
      </w:r>
    </w:p>
    <w:p w14:paraId="5D5898E4">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p>
    <w:p w14:paraId="12830A8E">
      <w:pPr>
        <w:jc w:val="both"/>
        <w:rPr>
          <w:rFonts w:eastAsiaTheme="minorHAnsi"/>
          <w:color w:val="000000" w:themeColor="text1"/>
          <w:lang w:eastAsia="en-US"/>
          <w14:textFill>
            <w14:solidFill>
              <w14:schemeClr w14:val="tx1"/>
            </w14:solidFill>
          </w14:textFill>
        </w:rPr>
      </w:pPr>
    </w:p>
    <w:p w14:paraId="5C87AE45">
      <w:pPr>
        <w:rPr>
          <w:b/>
        </w:rPr>
      </w:pPr>
    </w:p>
    <w:p w14:paraId="444DFF72">
      <w:pPr>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4.2. Upravljanje kvalitetom u destinaciji:</w:t>
      </w:r>
    </w:p>
    <w:p w14:paraId="0BDF08EB">
      <w:pPr>
        <w:rPr>
          <w:rFonts w:eastAsiaTheme="minorHAnsi"/>
          <w:b/>
          <w:bCs/>
          <w:color w:val="000000" w:themeColor="text1"/>
          <w:lang w:eastAsia="en-US"/>
          <w14:textFill>
            <w14:solidFill>
              <w14:schemeClr w14:val="tx1"/>
            </w14:solidFill>
          </w14:textFill>
        </w:rPr>
      </w:pPr>
    </w:p>
    <w:p w14:paraId="25F797E6">
      <w:pPr>
        <w:rPr>
          <w:rFonts w:eastAsiaTheme="minorHAnsi"/>
          <w:b/>
          <w:bCs/>
          <w:lang w:eastAsia="en-US"/>
        </w:rPr>
      </w:pPr>
      <w:r>
        <w:rPr>
          <w:b/>
        </w:rPr>
        <w:t>4.2.1.Sustav nagrađivanja, priznanje postignućima u turizmu  svrhu razvoja izvrsnosti na svim razinama turističke ponude u destinaciji samostalno i u suradnji s regionalnom turističkom zajednicom i HTZ-om</w:t>
      </w:r>
    </w:p>
    <w:p w14:paraId="397D86CE">
      <w:pPr>
        <w:rPr>
          <w:rFonts w:eastAsiaTheme="minorHAnsi"/>
          <w:b/>
          <w:color w:val="000000" w:themeColor="text1"/>
          <w:lang w:eastAsia="en-US"/>
          <w14:textFill>
            <w14:solidFill>
              <w14:schemeClr w14:val="tx1"/>
            </w14:solidFill>
          </w14:textFill>
        </w:rPr>
      </w:pPr>
      <w:bookmarkStart w:id="0" w:name="_Hlk51936294"/>
      <w:r>
        <w:rPr>
          <w:rFonts w:eastAsiaTheme="minorHAnsi"/>
          <w:b/>
          <w:color w:val="000000" w:themeColor="text1"/>
          <w:lang w:eastAsia="en-US"/>
          <w14:textFill>
            <w14:solidFill>
              <w14:schemeClr w14:val="tx1"/>
            </w14:solidFill>
          </w14:textFill>
        </w:rPr>
        <w:t>Detaljan i precizan opis aktivnosti:</w:t>
      </w:r>
    </w:p>
    <w:p w14:paraId="48907ECD">
      <w:pPr>
        <w:jc w:val="both"/>
      </w:pPr>
      <w:r>
        <w:t>Sustav nagrađivanja, priznanje postignućima u turizmu u svrhu razvoja izvrsnosti na svim razinama turističke ponude u destinaciji samostalno i u suradnji s regionalnom turističkom zajednicom i HTZ-om.</w:t>
      </w:r>
    </w:p>
    <w:p w14:paraId="2A8FF698">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Obogaćivanje turističke ponude i nagrađivanje najboljih</w:t>
      </w:r>
    </w:p>
    <w:p w14:paraId="7B472AEB">
      <w:pPr>
        <w:jc w:val="both"/>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HTZ, TZZŽ</w:t>
      </w:r>
    </w:p>
    <w:p w14:paraId="78CD13C5">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Ostvareno:</w:t>
      </w:r>
      <w:r>
        <w:rPr>
          <w:rFonts w:eastAsiaTheme="minorHAnsi"/>
          <w: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eura</w:t>
      </w:r>
    </w:p>
    <w:p w14:paraId="5C887324">
      <w:pPr>
        <w:autoSpaceDE w:val="0"/>
        <w:autoSpaceDN w:val="0"/>
        <w:adjustRightInd w:val="0"/>
      </w:pPr>
    </w:p>
    <w:p w14:paraId="0193B51D">
      <w:pPr>
        <w:autoSpaceDE w:val="0"/>
        <w:autoSpaceDN w:val="0"/>
        <w:adjustRightInd w:val="0"/>
        <w:rPr>
          <w:rFonts w:eastAsiaTheme="minorHAnsi"/>
          <w:b/>
          <w:color w:val="000000" w:themeColor="text1"/>
          <w:lang w:eastAsia="en-US"/>
          <w14:textFill>
            <w14:solidFill>
              <w14:schemeClr w14:val="tx1"/>
            </w14:solidFill>
          </w14:textFill>
        </w:rPr>
      </w:pPr>
      <w:r>
        <w:rPr>
          <w:b/>
        </w:rPr>
        <w:t>4.2.2.Sudjelovanje u planiranju i provedbi ključnih investicijskih projekata</w:t>
      </w:r>
      <w:r>
        <w:rPr>
          <w:rFonts w:eastAsiaTheme="minorHAnsi"/>
          <w:b/>
          <w:color w:val="000000" w:themeColor="text1"/>
          <w:lang w:eastAsia="en-US"/>
          <w14:textFill>
            <w14:solidFill>
              <w14:schemeClr w14:val="tx1"/>
            </w14:solidFill>
          </w14:textFill>
        </w:rPr>
        <w:t xml:space="preserve"> javnog i privatnog sektora i ključnih projekata podizanja konkurentnosti destinacije</w:t>
      </w:r>
    </w:p>
    <w:p w14:paraId="06F95DAA">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3DDD6035">
      <w:pPr>
        <w:jc w:val="both"/>
      </w:pPr>
      <w:r>
        <w:t xml:space="preserve">Sudjelovanje u planiranju i provedbi ključnih investicijskih projekata javnog i privatnog sektora i ključnih projekata podizanja konkurentnosti destinacije, te ih planira uključiti u različite programe Turističke zajednice Zadarske županije i Hrvatske turističke zajednice. </w:t>
      </w:r>
    </w:p>
    <w:p w14:paraId="0D3B4C6E">
      <w:pPr>
        <w:jc w:val="both"/>
      </w:pPr>
    </w:p>
    <w:p w14:paraId="4F858F1D">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t>podizanje konkurentnosti i vidljivosti destinacije.</w:t>
      </w:r>
    </w:p>
    <w:p w14:paraId="23DC6B2B">
      <w:pPr>
        <w:jc w:val="both"/>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pružatelji usluga u destinaciji</w:t>
      </w:r>
    </w:p>
    <w:p w14:paraId="32DC026D">
      <w:pPr>
        <w:autoSpaceDE w:val="0"/>
        <w:autoSpaceDN w:val="0"/>
        <w:adjustRightInd w:val="0"/>
        <w:rPr>
          <w:rFonts w:hint="default" w:eastAsiaTheme="minorHAnsi"/>
          <w:b/>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13.272.29</w:t>
      </w:r>
      <w:r>
        <w:rPr>
          <w:rFonts w:eastAsiaTheme="minorHAnsi"/>
          <w:i/>
          <w:color w:val="000000" w:themeColor="text1"/>
          <w:lang w:eastAsia="en-US"/>
          <w14:textFill>
            <w14:solidFill>
              <w14:schemeClr w14:val="tx1"/>
            </w14:solidFill>
          </w14:textFill>
        </w:rPr>
        <w:t xml:space="preserve">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color w:val="000000" w:themeColor="text1"/>
          <w:lang w:val="hr-HR" w:eastAsia="en-US"/>
          <w14:textFill>
            <w14:solidFill>
              <w14:schemeClr w14:val="tx1"/>
            </w14:solidFill>
          </w14:textFill>
        </w:rPr>
        <w:t>13.272,29</w:t>
      </w:r>
    </w:p>
    <w:p w14:paraId="579E1A94">
      <w:pPr>
        <w:jc w:val="both"/>
      </w:pPr>
    </w:p>
    <w:p w14:paraId="131DF97B">
      <w:pPr>
        <w:jc w:val="both"/>
        <w:rPr>
          <w:b/>
        </w:rPr>
      </w:pPr>
      <w:r>
        <w:rPr>
          <w:b/>
        </w:rPr>
        <w:t>4.2.3.Suradnja s predstavnicima turističke ponude po proizvodima radi podizanja kvalitete ponude u destinaciji</w:t>
      </w:r>
    </w:p>
    <w:p w14:paraId="6305953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64F53F57">
      <w:pPr>
        <w:jc w:val="both"/>
        <w:rPr>
          <w:rFonts w:eastAsiaTheme="minorHAnsi"/>
          <w:b/>
          <w:color w:val="000000" w:themeColor="text1"/>
          <w:lang w:eastAsia="en-US"/>
          <w14:textFill>
            <w14:solidFill>
              <w14:schemeClr w14:val="tx1"/>
            </w14:solidFill>
          </w14:textFill>
        </w:rPr>
      </w:pPr>
      <w:r>
        <w:t>TZ će biti partneri u projektima podizanja kvalitete i konkurentnosti destinacije na koje bude pozvana da se uključi</w:t>
      </w:r>
    </w:p>
    <w:p w14:paraId="4E71E098">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Obogaćivanje turističke ponude.</w:t>
      </w:r>
    </w:p>
    <w:p w14:paraId="7A0B6DC2">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PP Telašćica, Općina Sali, ostali predstavnici tur. ponude</w:t>
      </w:r>
    </w:p>
    <w:p w14:paraId="739B35D4">
      <w:pPr>
        <w:jc w:val="both"/>
        <w:rPr>
          <w:rFonts w:eastAsiaTheme="minorHAnsi"/>
          <w:color w:val="000000" w:themeColor="text1"/>
          <w:lang w:eastAsia="en-US"/>
          <w14:textFill>
            <w14:solidFill>
              <w14:schemeClr w14:val="tx1"/>
            </w14:solidFill>
          </w14:textFill>
        </w:rPr>
      </w:pPr>
    </w:p>
    <w:p w14:paraId="7B938446">
      <w:pPr>
        <w:autoSpaceDE w:val="0"/>
        <w:autoSpaceDN w:val="0"/>
        <w:adjustRightInd w:val="0"/>
        <w:rPr>
          <w:rFonts w:eastAsiaTheme="minorHAnsi"/>
          <w:b/>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Ostvareno</w:t>
      </w:r>
      <w:r>
        <w:rPr>
          <w:rFonts w:eastAsiaTheme="minorHAnsi"/>
          <w: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eura</w:t>
      </w:r>
    </w:p>
    <w:p w14:paraId="2C4C20CB">
      <w:pPr>
        <w:jc w:val="both"/>
      </w:pPr>
    </w:p>
    <w:p w14:paraId="2D5D0837">
      <w:pPr>
        <w:jc w:val="both"/>
      </w:pPr>
    </w:p>
    <w:p w14:paraId="4309FDAE">
      <w:pPr>
        <w:jc w:val="both"/>
      </w:pPr>
    </w:p>
    <w:p w14:paraId="3A4FF71B">
      <w:pPr>
        <w:jc w:val="both"/>
      </w:pPr>
    </w:p>
    <w:p w14:paraId="47097041">
      <w:pPr>
        <w:jc w:val="both"/>
        <w:rPr>
          <w:b/>
        </w:rPr>
      </w:pPr>
      <w:r>
        <w:rPr>
          <w:b/>
        </w:rPr>
        <w:t>4.2.4. Organiziran sustav upravljanja posjetiteljima</w:t>
      </w:r>
    </w:p>
    <w:bookmarkEnd w:id="0"/>
    <w:p w14:paraId="2D82F36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6412F01A">
      <w:pPr>
        <w:jc w:val="both"/>
      </w:pPr>
      <w:r>
        <w:t xml:space="preserve">Sustav upravljanja posjetiteljima podrazumijeva pronalaženje načina kako interese i upite potencijalnih gostiju pretvoriti u konkretne rezultate tj. dolaske i noćenja istih. Navedeno se provodi razvojem baze podataka TZO Sali, različitim marketinških tehnikama samostalno ili u suradnji s Turističkom zajednicom Zadarske županije i Hrvatskom turističkom zajednicom. </w:t>
      </w:r>
    </w:p>
    <w:p w14:paraId="7AB4424C">
      <w:pPr>
        <w:jc w:val="both"/>
      </w:pPr>
      <w:r>
        <w:rPr>
          <w:rFonts w:eastAsiaTheme="minorHAnsi"/>
          <w:b/>
          <w:color w:val="000000" w:themeColor="text1"/>
          <w:lang w:eastAsia="en-US"/>
          <w14:textFill>
            <w14:solidFill>
              <w14:schemeClr w14:val="tx1"/>
            </w14:solidFill>
          </w14:textFill>
        </w:rPr>
        <w:t>Cilj aktivnosti:</w:t>
      </w:r>
      <w:r>
        <w:t xml:space="preserve"> pretvoriti sve zainteresirane turiste u stvarne posjetitelje.</w:t>
      </w:r>
    </w:p>
    <w:p w14:paraId="4CC9BB9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0,00 eura</w:t>
      </w:r>
    </w:p>
    <w:p w14:paraId="1A8DF008">
      <w:pPr>
        <w:rPr>
          <w:rFonts w:eastAsiaTheme="minorHAnsi"/>
          <w:b/>
          <w:bCs/>
          <w:lang w:eastAsia="en-US"/>
        </w:rPr>
      </w:pPr>
    </w:p>
    <w:p w14:paraId="2D1CD8D2">
      <w:pPr>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4.3. Poticanje na očuvanje i uređenje okoliša:</w:t>
      </w:r>
    </w:p>
    <w:p w14:paraId="793158E1">
      <w:pPr>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4.3.1. Poboljšanje općih uvjeta boravka turista</w:t>
      </w:r>
    </w:p>
    <w:p w14:paraId="36B956F6">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 će nastaviti suradnju sa Općinom i Komunalnim poduzećem te će poticati i sudjelovati u uređenju i očuvanju okoliša</w:t>
      </w:r>
    </w:p>
    <w:p w14:paraId="5461C0DD">
      <w:pPr>
        <w:tabs>
          <w:tab w:val="left" w:pos="7815"/>
        </w:tabs>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Očuvanje i uređenje</w:t>
      </w:r>
      <w:r>
        <w:rPr>
          <w:rFonts w:eastAsiaTheme="minorHAnsi"/>
          <w:color w:val="000000" w:themeColor="text1"/>
          <w:lang w:eastAsia="en-US"/>
          <w14:textFill>
            <w14:solidFill>
              <w14:schemeClr w14:val="tx1"/>
            </w14:solidFill>
          </w14:textFill>
        </w:rPr>
        <w:tab/>
      </w:r>
    </w:p>
    <w:p w14:paraId="6F623CF6">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TZO Sali, Općina Sali, komunalno poduzeće</w:t>
      </w:r>
    </w:p>
    <w:p w14:paraId="2E753C14">
      <w:pPr>
        <w:autoSpaceDE w:val="0"/>
        <w:autoSpaceDN w:val="0"/>
        <w:adjustRightInd w:val="0"/>
        <w:rPr>
          <w:rFonts w:eastAsiaTheme="minorHAnsi"/>
          <w:b/>
          <w:color w:val="FF0000"/>
          <w:lang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0,00 eura</w:t>
      </w:r>
    </w:p>
    <w:p w14:paraId="76668FFD">
      <w:pPr>
        <w:jc w:val="both"/>
        <w:rPr>
          <w:b/>
        </w:rPr>
      </w:pPr>
    </w:p>
    <w:p w14:paraId="315738DA">
      <w:pPr>
        <w:jc w:val="both"/>
        <w:rPr>
          <w:b/>
        </w:rPr>
      </w:pPr>
      <w:r>
        <w:rPr>
          <w:b/>
        </w:rPr>
        <w:t xml:space="preserve">4.3.2. Aktivnosti uređenja mjesta </w:t>
      </w:r>
    </w:p>
    <w:p w14:paraId="7AF42BDE">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 će nastaviti surađivati sa Općinom na aktivnostima uređenja mjesta u smislu uređenja šetnica, postavljanja klupa, hortikulture i slično. Također u suradnji sa JU Natura Jadera, Županijskom lučkom upravom i drugim subjektima javnog sektora nastavlja se suradnja na uređenju lokaliteta</w:t>
      </w:r>
    </w:p>
    <w:p w14:paraId="2F1CF0B2">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Poboljšanje uvjeta boravka turista na destinaciji</w:t>
      </w:r>
    </w:p>
    <w:p w14:paraId="3C009409">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Općina, Komunalno poduzeće</w:t>
      </w:r>
    </w:p>
    <w:p w14:paraId="5822C019">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3.981,68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3.981,68 eura</w:t>
      </w:r>
    </w:p>
    <w:p w14:paraId="0ACE66FF">
      <w:pPr>
        <w:jc w:val="both"/>
        <w:rPr>
          <w:rFonts w:eastAsiaTheme="minorHAnsi"/>
          <w:color w:val="000000" w:themeColor="text1"/>
          <w:lang w:eastAsia="en-US"/>
          <w14:textFill>
            <w14:solidFill>
              <w14:schemeClr w14:val="tx1"/>
            </w14:solidFill>
          </w14:textFill>
        </w:rPr>
      </w:pPr>
    </w:p>
    <w:p w14:paraId="1AC1363C">
      <w:pPr>
        <w:jc w:val="both"/>
        <w:rPr>
          <w:b/>
        </w:rPr>
      </w:pPr>
      <w:r>
        <w:rPr>
          <w:b/>
        </w:rPr>
        <w:t>4.3.3.Suradnja sa subjektima javnog i privatnog sektora u destinaciji radi podizanja kvalitete turističkog iskustva, funkcioniranja, dostupnosti i kvalitete javnih usluga, servisa i komunalnih službi na području destinacije</w:t>
      </w:r>
    </w:p>
    <w:p w14:paraId="4522844D">
      <w:pPr>
        <w:jc w:val="both"/>
      </w:pPr>
      <w:r>
        <w:rPr>
          <w:rFonts w:eastAsiaTheme="minorHAnsi"/>
          <w:b/>
          <w:color w:val="000000" w:themeColor="text1"/>
          <w:lang w:eastAsia="en-US"/>
          <w14:textFill>
            <w14:solidFill>
              <w14:schemeClr w14:val="tx1"/>
            </w14:solidFill>
          </w14:textFill>
        </w:rPr>
        <w:t>Detaljan i precizan opis aktivnosti:</w:t>
      </w:r>
    </w:p>
    <w:p w14:paraId="6282895C">
      <w:pPr>
        <w:jc w:val="both"/>
      </w:pPr>
      <w:r>
        <w:t>Planira se održavanje edukacija za iznajmljivače.</w:t>
      </w:r>
    </w:p>
    <w:p w14:paraId="66A7E043">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 xml:space="preserve">Edukacija i implementacija stečenog iskustva </w:t>
      </w:r>
    </w:p>
    <w:p w14:paraId="064A0BEE">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subjekti javnog i privatnog sektora</w:t>
      </w:r>
    </w:p>
    <w:p w14:paraId="5F538E08">
      <w:pPr>
        <w:autoSpaceDE w:val="0"/>
        <w:autoSpaceDN w:val="0"/>
        <w:adjustRightInd w:val="0"/>
        <w:rPr>
          <w:rFonts w:eastAsiaTheme="minorHAnsi"/>
          <w:b/>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p>
    <w:p w14:paraId="3EC8D40A">
      <w:pPr>
        <w:autoSpaceDE w:val="0"/>
        <w:autoSpaceDN w:val="0"/>
        <w:adjustRightInd w:val="0"/>
        <w:rPr>
          <w:rFonts w:eastAsiaTheme="minorHAnsi"/>
          <w:color w:val="000000" w:themeColor="text1"/>
          <w:lang w:eastAsia="en-US"/>
          <w14:textFill>
            <w14:solidFill>
              <w14:schemeClr w14:val="tx1"/>
            </w14:solidFill>
          </w14:textFill>
        </w:rPr>
      </w:pPr>
    </w:p>
    <w:p w14:paraId="2FB7A01F">
      <w:pPr>
        <w:autoSpaceDE w:val="0"/>
        <w:autoSpaceDN w:val="0"/>
        <w:adjustRightInd w:val="0"/>
        <w:rPr>
          <w:rFonts w:eastAsiaTheme="minorHAnsi"/>
          <w:color w:val="000000" w:themeColor="text1"/>
          <w:lang w:eastAsia="en-US"/>
          <w14:textFill>
            <w14:solidFill>
              <w14:schemeClr w14:val="tx1"/>
            </w14:solidFill>
          </w14:textFill>
        </w:rPr>
      </w:pPr>
    </w:p>
    <w:p w14:paraId="6200FB6E">
      <w:pPr>
        <w:pStyle w:val="13"/>
        <w:numPr>
          <w:ilvl w:val="0"/>
          <w:numId w:val="5"/>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ČLANSTVO U STRUKOVNIM UDRUGAMA</w:t>
      </w:r>
    </w:p>
    <w:p w14:paraId="0E2F204D">
      <w:pPr>
        <w:autoSpaceDE w:val="0"/>
        <w:autoSpaceDN w:val="0"/>
        <w:adjustRightInd w:val="0"/>
        <w:rPr>
          <w:rFonts w:eastAsiaTheme="minorHAnsi"/>
          <w:b/>
          <w:color w:val="000000" w:themeColor="text1"/>
          <w:lang w:eastAsia="en-US"/>
          <w14:textFill>
            <w14:solidFill>
              <w14:schemeClr w14:val="tx1"/>
            </w14:solidFill>
          </w14:textFill>
        </w:rPr>
      </w:pPr>
    </w:p>
    <w:p w14:paraId="27D74120">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5.1.Međunarodne strukovne i sl. organizacije</w:t>
      </w:r>
    </w:p>
    <w:p w14:paraId="1955D96C">
      <w:pPr>
        <w:autoSpaceDE w:val="0"/>
        <w:autoSpaceDN w:val="0"/>
        <w:adjustRightInd w:val="0"/>
        <w:rPr>
          <w:rFonts w:eastAsiaTheme="minorHAnsi"/>
          <w:b/>
          <w:color w:val="000000" w:themeColor="text1"/>
          <w:lang w:eastAsia="en-US"/>
          <w14:textFill>
            <w14:solidFill>
              <w14:schemeClr w14:val="tx1"/>
            </w14:solidFill>
          </w14:textFill>
        </w:rPr>
      </w:pPr>
    </w:p>
    <w:p w14:paraId="02AE598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5.2. Domaće strukovne i sl. organizacije</w:t>
      </w:r>
    </w:p>
    <w:p w14:paraId="23CFFB8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plaća članstvo u LAG-u i LAGUR-u</w:t>
      </w:r>
    </w:p>
    <w:p w14:paraId="26BB3F4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132,72 eura</w:t>
      </w:r>
      <w:r>
        <w:rPr>
          <w:rFonts w:eastAsiaTheme="minorHAnsi"/>
          <w:b/>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132,72 eura</w:t>
      </w:r>
    </w:p>
    <w:p w14:paraId="7F10B84A">
      <w:pPr>
        <w:rPr>
          <w:b/>
          <w:color w:val="000000" w:themeColor="text1"/>
          <w14:textFill>
            <w14:solidFill>
              <w14:schemeClr w14:val="tx1"/>
            </w14:solidFill>
          </w14:textFill>
        </w:rPr>
      </w:pPr>
    </w:p>
    <w:p w14:paraId="36637D0C">
      <w:pPr>
        <w:rPr>
          <w:b/>
          <w:color w:val="000000" w:themeColor="text1"/>
          <w14:textFill>
            <w14:solidFill>
              <w14:schemeClr w14:val="tx1"/>
            </w14:solidFill>
          </w14:textFill>
        </w:rPr>
      </w:pPr>
      <w:r>
        <w:rPr>
          <w:b/>
          <w:color w:val="000000" w:themeColor="text1"/>
          <w14:textFill>
            <w14:solidFill>
              <w14:schemeClr w14:val="tx1"/>
            </w14:solidFill>
          </w14:textFill>
        </w:rPr>
        <w:t>Sukladno članku 32. Zakona lokalne turističke zajednice mogu na temelju posebne odluke Turističkog vijeća Hrvatske turističke zajednice biti član međunarodnih turističkih organizacija i srodnih udruženja.</w:t>
      </w:r>
    </w:p>
    <w:p w14:paraId="60D1731D">
      <w:pPr>
        <w:rPr>
          <w:b/>
          <w:color w:val="000000" w:themeColor="text1"/>
          <w14:textFill>
            <w14:solidFill>
              <w14:schemeClr w14:val="tx1"/>
            </w14:solidFill>
          </w14:textFill>
        </w:rPr>
      </w:pPr>
    </w:p>
    <w:p w14:paraId="3651094E">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ADMINISTRATIVNI POSLOVI</w:t>
      </w:r>
    </w:p>
    <w:p w14:paraId="39C0A54C">
      <w:pPr>
        <w:rPr>
          <w:b/>
          <w:color w:val="000000" w:themeColor="text1"/>
          <w14:textFill>
            <w14:solidFill>
              <w14:schemeClr w14:val="tx1"/>
            </w14:solidFill>
          </w14:textFill>
        </w:rPr>
      </w:pPr>
    </w:p>
    <w:p w14:paraId="078730CE">
      <w:pPr>
        <w:rPr>
          <w:b/>
          <w:color w:val="000000" w:themeColor="text1"/>
          <w14:textFill>
            <w14:solidFill>
              <w14:schemeClr w14:val="tx1"/>
            </w14:solidFill>
          </w14:textFill>
        </w:rPr>
      </w:pPr>
    </w:p>
    <w:p w14:paraId="414DFB99">
      <w:pPr>
        <w:pStyle w:val="13"/>
        <w:numPr>
          <w:ilvl w:val="1"/>
          <w:numId w:val="5"/>
        </w:numPr>
        <w:rPr>
          <w:b/>
          <w:color w:val="000000" w:themeColor="text1"/>
          <w14:textFill>
            <w14:solidFill>
              <w14:schemeClr w14:val="tx1"/>
            </w14:solidFill>
          </w14:textFill>
        </w:rPr>
      </w:pPr>
      <w:r>
        <w:rPr>
          <w:b/>
          <w:color w:val="000000" w:themeColor="text1"/>
          <w14:textFill>
            <w14:solidFill>
              <w14:schemeClr w14:val="tx1"/>
            </w14:solidFill>
          </w14:textFill>
        </w:rPr>
        <w:t xml:space="preserve"> Plaće: </w:t>
      </w:r>
    </w:p>
    <w:p w14:paraId="6DFA5337">
      <w:pPr>
        <w:spacing w:after="160" w:line="259" w:lineRule="auto"/>
        <w:jc w:val="both"/>
      </w:pPr>
      <w:r>
        <w:rPr>
          <w:b/>
        </w:rPr>
        <w:t>6.1</w:t>
      </w:r>
      <w:r>
        <w:t>.</w:t>
      </w:r>
      <w:r>
        <w:rPr>
          <w:b/>
        </w:rPr>
        <w:t>1.</w:t>
      </w:r>
      <w:r>
        <w:t xml:space="preserve"> </w:t>
      </w:r>
      <w:r>
        <w:rPr>
          <w:b/>
        </w:rPr>
        <w:t>Plaće zaposlenika lokalne turističke zajednice osim plaća informatora u turističko-informativnim centrima</w:t>
      </w:r>
    </w:p>
    <w:p w14:paraId="7933DAB3">
      <w:pPr>
        <w:spacing w:after="160" w:line="259" w:lineRule="auto"/>
        <w:jc w:val="both"/>
        <w:rPr>
          <w:i/>
        </w:rPr>
      </w:pPr>
      <w:r>
        <w:rPr>
          <w:b/>
        </w:rPr>
        <w:t xml:space="preserve">Planirano: </w:t>
      </w:r>
      <w:r>
        <w:rPr>
          <w:rFonts w:hint="default"/>
          <w:i/>
          <w:lang w:val="hr-HR"/>
        </w:rPr>
        <w:t>49.000,00</w:t>
      </w:r>
      <w:r>
        <w:rPr>
          <w:i/>
        </w:rPr>
        <w:t>eura</w:t>
      </w:r>
      <w:r>
        <w:rPr>
          <w:i/>
        </w:rPr>
        <w:tab/>
      </w:r>
      <w:r>
        <w:rPr>
          <w:i/>
        </w:rPr>
        <w:tab/>
      </w:r>
      <w:r>
        <w:rPr>
          <w:b/>
        </w:rPr>
        <w:t xml:space="preserve">Ostvareno: </w:t>
      </w:r>
      <w:r>
        <w:rPr>
          <w:rFonts w:hint="default"/>
          <w:i/>
          <w:lang w:val="hr-HR"/>
        </w:rPr>
        <w:t>49.000,00</w:t>
      </w:r>
      <w:r>
        <w:rPr>
          <w:i/>
        </w:rPr>
        <w:t xml:space="preserve"> eura</w:t>
      </w:r>
    </w:p>
    <w:p w14:paraId="7E617BC2">
      <w:pPr>
        <w:rPr>
          <w:b/>
          <w:color w:val="000000" w:themeColor="text1"/>
          <w14:textFill>
            <w14:solidFill>
              <w14:schemeClr w14:val="tx1"/>
            </w14:solidFill>
          </w14:textFill>
        </w:rPr>
      </w:pPr>
    </w:p>
    <w:p w14:paraId="3519007C">
      <w:pPr>
        <w:pStyle w:val="13"/>
        <w:numPr>
          <w:ilvl w:val="1"/>
          <w:numId w:val="5"/>
        </w:numPr>
        <w:rPr>
          <w:b/>
          <w:color w:val="000000" w:themeColor="text1"/>
          <w14:textFill>
            <w14:solidFill>
              <w14:schemeClr w14:val="tx1"/>
            </w14:solidFill>
          </w14:textFill>
        </w:rPr>
      </w:pPr>
      <w:r>
        <w:rPr>
          <w:b/>
          <w:color w:val="000000" w:themeColor="text1"/>
          <w14:textFill>
            <w14:solidFill>
              <w14:schemeClr w14:val="tx1"/>
            </w14:solidFill>
          </w14:textFill>
        </w:rPr>
        <w:t xml:space="preserve"> Materijalni troškovi:</w:t>
      </w:r>
    </w:p>
    <w:p w14:paraId="3E089629">
      <w:pPr>
        <w:spacing w:after="160" w:line="259" w:lineRule="auto"/>
        <w:jc w:val="both"/>
        <w:rPr>
          <w:b/>
        </w:rPr>
      </w:pPr>
      <w:r>
        <w:rPr>
          <w:b/>
        </w:rPr>
        <w:t>6.2.1. Troškovi funkcioniranja ureda turističke zajednice (režijski troškovi, zakup prostora, uredska oprema i materijal, održavanje prostora, troškovi platnog prometa, odvjetnički i javnobilježnički troškovi, troškovi poštarine, stručno usavršavanje zaposlenika</w:t>
      </w:r>
      <w:r>
        <w:rPr>
          <w:rFonts w:hint="default"/>
          <w:b/>
          <w:lang w:val="hr-HR"/>
        </w:rPr>
        <w:t>, auto</w:t>
      </w:r>
      <w:r>
        <w:rPr>
          <w:b/>
        </w:rPr>
        <w:t xml:space="preserve"> i sl.)</w:t>
      </w:r>
    </w:p>
    <w:p w14:paraId="0454A1AC">
      <w:pPr>
        <w:spacing w:after="160" w:line="259" w:lineRule="auto"/>
        <w:jc w:val="both"/>
        <w:rPr>
          <w:i/>
        </w:rPr>
      </w:pPr>
      <w:r>
        <w:rPr>
          <w:b/>
        </w:rPr>
        <w:t xml:space="preserve">Planirano: </w:t>
      </w:r>
      <w:r>
        <w:rPr>
          <w:rFonts w:hint="default"/>
          <w:b w:val="0"/>
          <w:bCs/>
          <w:i/>
          <w:iCs/>
          <w:lang w:val="hr-HR"/>
        </w:rPr>
        <w:t>1</w:t>
      </w:r>
      <w:r>
        <w:rPr>
          <w:rFonts w:hint="default"/>
          <w:b w:val="0"/>
          <w:bCs/>
          <w:i/>
          <w:lang w:val="hr-HR"/>
        </w:rPr>
        <w:t>8.200,00</w:t>
      </w:r>
      <w:r>
        <w:rPr>
          <w:i/>
        </w:rPr>
        <w:t xml:space="preserve"> eura</w:t>
      </w:r>
      <w:r>
        <w:rPr>
          <w:i/>
        </w:rPr>
        <w:tab/>
      </w:r>
      <w:r>
        <w:rPr>
          <w:i/>
        </w:rPr>
        <w:tab/>
      </w:r>
      <w:r>
        <w:rPr>
          <w:b/>
        </w:rPr>
        <w:t xml:space="preserve">Ostvareno: </w:t>
      </w:r>
      <w:r>
        <w:rPr>
          <w:rFonts w:hint="default"/>
          <w:b w:val="0"/>
          <w:bCs/>
          <w:i/>
          <w:iCs/>
          <w:lang w:val="hr-HR"/>
        </w:rPr>
        <w:t>18.200,00</w:t>
      </w:r>
      <w:r>
        <w:rPr>
          <w:b w:val="0"/>
          <w:bCs/>
          <w:i/>
          <w:iCs/>
        </w:rPr>
        <w:t xml:space="preserve"> </w:t>
      </w:r>
      <w:r>
        <w:rPr>
          <w:i/>
        </w:rPr>
        <w:t>eura</w:t>
      </w:r>
    </w:p>
    <w:p w14:paraId="25A2B36E">
      <w:pPr>
        <w:spacing w:after="160" w:line="259" w:lineRule="auto"/>
        <w:jc w:val="both"/>
        <w:rPr>
          <w:i/>
        </w:rPr>
      </w:pPr>
    </w:p>
    <w:p w14:paraId="0D1C79BB">
      <w:pPr>
        <w:spacing w:after="160" w:line="259" w:lineRule="auto"/>
        <w:jc w:val="both"/>
        <w:rPr>
          <w:b/>
        </w:rPr>
      </w:pPr>
      <w:r>
        <w:rPr>
          <w:b/>
        </w:rPr>
        <w:t>6.3. Tijela turističke zajednice</w:t>
      </w:r>
    </w:p>
    <w:p w14:paraId="3BCDB385">
      <w:pPr>
        <w:spacing w:after="160" w:line="259" w:lineRule="auto"/>
        <w:jc w:val="both"/>
        <w:rPr>
          <w:b/>
        </w:rPr>
      </w:pPr>
      <w:r>
        <w:rPr>
          <w:b/>
        </w:rPr>
        <w:t>6.3.1.Naknade za obavljanje aktivnosti članovima tijela turističke zajednice, putni troškovi članova tijela turističke zajednice, troškovi reprezentacije, pripreme te distribucije materijala za potrebe održavanje sjednica tijela turističke zajednice</w:t>
      </w:r>
    </w:p>
    <w:p w14:paraId="41E08C9B">
      <w:pPr>
        <w:spacing w:after="160" w:line="259" w:lineRule="auto"/>
        <w:jc w:val="both"/>
      </w:pPr>
      <w:r>
        <w:t>Planirani troškovi: 0,00 eura</w:t>
      </w:r>
    </w:p>
    <w:p w14:paraId="6B7FFD10">
      <w:pPr>
        <w:spacing w:after="160" w:line="259" w:lineRule="auto"/>
        <w:jc w:val="both"/>
        <w:rPr>
          <w:b/>
        </w:rPr>
      </w:pPr>
    </w:p>
    <w:p w14:paraId="530C3BF1">
      <w:pPr>
        <w:spacing w:after="160" w:line="259" w:lineRule="auto"/>
        <w:jc w:val="both"/>
        <w:rPr>
          <w:b/>
        </w:rPr>
      </w:pPr>
      <w:r>
        <w:rPr>
          <w:b/>
        </w:rPr>
        <w:t>6.3.2. Troškovi zakupa prostora za potrebe održavanja sjednica tijela turističke zajednice</w:t>
      </w:r>
    </w:p>
    <w:p w14:paraId="0F50DBB8">
      <w:pPr>
        <w:spacing w:after="160" w:line="259" w:lineRule="auto"/>
        <w:jc w:val="both"/>
      </w:pPr>
      <w:r>
        <w:t>Planirani troškovi: 0,00 eura</w:t>
      </w:r>
    </w:p>
    <w:p w14:paraId="285BC02D">
      <w:pPr>
        <w:rPr>
          <w:b/>
          <w:color w:val="000000" w:themeColor="text1"/>
          <w14:textFill>
            <w14:solidFill>
              <w14:schemeClr w14:val="tx1"/>
            </w14:solidFill>
          </w14:textFill>
        </w:rPr>
      </w:pPr>
    </w:p>
    <w:p w14:paraId="7C9006FA">
      <w:pPr>
        <w:rPr>
          <w:b/>
          <w:color w:val="000000" w:themeColor="text1"/>
          <w14:textFill>
            <w14:solidFill>
              <w14:schemeClr w14:val="tx1"/>
            </w14:solidFill>
          </w14:textFill>
        </w:rPr>
      </w:pPr>
    </w:p>
    <w:p w14:paraId="6F7EA19F">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REZERVA</w:t>
      </w:r>
    </w:p>
    <w:p w14:paraId="7B4A1003">
      <w:pPr>
        <w:spacing w:after="160" w:line="259" w:lineRule="auto"/>
        <w:jc w:val="both"/>
      </w:pPr>
      <w:r>
        <w:t>Rezerva do 5 % za potrebe osiguranja likvidnosti u izvanrednim okolnostima te financiranja neplaniranih aktivnosti (Odlukom Turističkog vijeća moguća je alokacija sredstava rezerve na ostale pojedinačno planirane aktivnosti ili nove aktivnosti)</w:t>
      </w:r>
    </w:p>
    <w:p w14:paraId="565794C8">
      <w:pPr>
        <w:spacing w:after="160" w:line="259" w:lineRule="auto"/>
        <w:jc w:val="both"/>
        <w:rPr>
          <w:i/>
        </w:rPr>
      </w:pPr>
      <w:r>
        <w:rPr>
          <w:b/>
        </w:rPr>
        <w:t xml:space="preserve">Planirano: </w:t>
      </w:r>
      <w:r>
        <w:rPr>
          <w:i/>
        </w:rPr>
        <w:t>14.334,0</w:t>
      </w:r>
      <w:r>
        <w:rPr>
          <w:rFonts w:hint="default"/>
          <w:i/>
          <w:lang w:val="hr-HR"/>
        </w:rPr>
        <w:t>6</w:t>
      </w:r>
      <w:r>
        <w:rPr>
          <w:i/>
        </w:rPr>
        <w:t xml:space="preserve"> eura</w:t>
      </w:r>
      <w:r>
        <w:rPr>
          <w:i/>
        </w:rPr>
        <w:tab/>
      </w:r>
      <w:r>
        <w:rPr>
          <w:i/>
        </w:rPr>
        <w:tab/>
      </w:r>
      <w:r>
        <w:rPr>
          <w:b/>
        </w:rPr>
        <w:t xml:space="preserve">Ostvareno: </w:t>
      </w:r>
      <w:r>
        <w:rPr>
          <w:i/>
        </w:rPr>
        <w:t>14.334,06</w:t>
      </w:r>
    </w:p>
    <w:p w14:paraId="44915065">
      <w:pPr>
        <w:rPr>
          <w:b/>
          <w:color w:val="000000" w:themeColor="text1"/>
          <w14:textFill>
            <w14:solidFill>
              <w14:schemeClr w14:val="tx1"/>
            </w14:solidFill>
          </w14:textFill>
        </w:rPr>
      </w:pPr>
    </w:p>
    <w:p w14:paraId="3CCA08B1">
      <w:pPr>
        <w:rPr>
          <w:b/>
          <w:color w:val="000000" w:themeColor="text1"/>
          <w14:textFill>
            <w14:solidFill>
              <w14:schemeClr w14:val="tx1"/>
            </w14:solidFill>
          </w14:textFill>
        </w:rPr>
      </w:pPr>
    </w:p>
    <w:p w14:paraId="48556C3F">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 xml:space="preserve">POKRIVANJE MANJKA PRIHODA IZ PRETHODNE GODINE  </w:t>
      </w:r>
    </w:p>
    <w:p w14:paraId="688DAF33">
      <w:pPr>
        <w:jc w:val="both"/>
      </w:pPr>
      <w:r>
        <w:t>Ovisno o procjeni financijskog rezultata poslovanja u tekućoj godini, ukoliko se ostvari manjak prihoda, potrebno je od planiranih redovnih prihoda za narednu godinu određeni dio sredstava rezervirati za pokrivanje manjka prihoda iz prethodne godine, ako se ostvari višak sredstava prebacuje se u slijedeću godinu. Ostvaren je višak.</w:t>
      </w:r>
    </w:p>
    <w:p w14:paraId="2B02F277">
      <w:pPr>
        <w:jc w:val="both"/>
        <w:rPr>
          <w:i/>
        </w:rPr>
      </w:pPr>
    </w:p>
    <w:p w14:paraId="495C8744">
      <w:pPr>
        <w:jc w:val="both"/>
        <w:rPr>
          <w:i/>
        </w:rPr>
      </w:pPr>
      <w:r>
        <w:rPr>
          <w:b/>
        </w:rPr>
        <w:t xml:space="preserve">Ostvareno višak: </w:t>
      </w:r>
      <w:r>
        <w:rPr>
          <w:rFonts w:hint="default"/>
          <w:b w:val="0"/>
          <w:bCs/>
          <w:i/>
          <w:iCs/>
          <w:lang w:val="hr-HR"/>
        </w:rPr>
        <w:t>16.674,49</w:t>
      </w:r>
      <w:r>
        <w:rPr>
          <w:i/>
        </w:rPr>
        <w:t xml:space="preserve"> eura</w:t>
      </w:r>
    </w:p>
    <w:p w14:paraId="6808F2BF">
      <w:pPr>
        <w:rPr>
          <w:b/>
          <w:color w:val="000000" w:themeColor="text1"/>
          <w14:textFill>
            <w14:solidFill>
              <w14:schemeClr w14:val="tx1"/>
            </w14:solidFill>
          </w14:textFill>
        </w:rPr>
      </w:pPr>
    </w:p>
    <w:p w14:paraId="3B661B37">
      <w:pPr>
        <w:rPr>
          <w:b/>
          <w:color w:val="000000" w:themeColor="text1"/>
          <w14:textFill>
            <w14:solidFill>
              <w14:schemeClr w14:val="tx1"/>
            </w14:solidFill>
          </w14:textFill>
        </w:rPr>
      </w:pPr>
    </w:p>
    <w:p w14:paraId="217C3E30">
      <w:pPr>
        <w:rPr>
          <w:b/>
          <w:color w:val="000000" w:themeColor="text1"/>
          <w14:textFill>
            <w14:solidFill>
              <w14:schemeClr w14:val="tx1"/>
            </w14:solidFill>
          </w14:textFill>
        </w:rPr>
      </w:pPr>
    </w:p>
    <w:p w14:paraId="34B25253">
      <w:pPr>
        <w:spacing w:before="9"/>
        <w:rPr>
          <w:sz w:val="28"/>
          <w:szCs w:val="28"/>
        </w:rPr>
        <w:sectPr>
          <w:pgSz w:w="11910" w:h="16840"/>
          <w:pgMar w:top="2420" w:right="280" w:bottom="920" w:left="1100" w:header="720" w:footer="720" w:gutter="0"/>
          <w:cols w:space="720" w:num="1"/>
          <w:docGrid w:linePitch="326" w:charSpace="0"/>
        </w:sectPr>
      </w:pPr>
      <w:r>
        <w:rPr>
          <w:sz w:val="28"/>
          <w:szCs w:val="28"/>
        </w:rPr>
        <w:t>IZVJEŠĆE O IZVRŠENJU PROGRAMA RADA</w:t>
      </w:r>
      <w:bookmarkStart w:id="1" w:name="_GoBack"/>
      <w:bookmarkEnd w:id="1"/>
      <w:r>
        <w:rPr>
          <w:sz w:val="28"/>
          <w:szCs w:val="28"/>
        </w:rPr>
        <w:t xml:space="preserve"> – TABLIČNI PRIKAZ</w:t>
      </w:r>
    </w:p>
    <w:tbl>
      <w:tblPr>
        <w:tblStyle w:val="4"/>
        <w:tblW w:w="14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780"/>
        <w:gridCol w:w="6180"/>
        <w:gridCol w:w="1695"/>
        <w:gridCol w:w="1515"/>
        <w:gridCol w:w="1491"/>
        <w:gridCol w:w="1825"/>
        <w:gridCol w:w="2480"/>
      </w:tblGrid>
      <w:tr w14:paraId="2AC7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5" w:type="dxa"/>
            <w:tcBorders>
              <w:top w:val="nil"/>
              <w:left w:val="nil"/>
              <w:bottom w:val="nil"/>
              <w:right w:val="nil"/>
            </w:tcBorders>
            <w:shd w:val="clear" w:color="auto" w:fill="auto"/>
            <w:noWrap/>
            <w:vAlign w:val="center"/>
          </w:tcPr>
          <w:p w14:paraId="60B0BB00">
            <w:pPr>
              <w:jc w:val="both"/>
              <w:rPr>
                <w:rFonts w:hint="eastAsia" w:ascii="Calibri" w:hAnsi="Calibri" w:cs="Calibri"/>
                <w:b/>
                <w:bCs/>
                <w:i w:val="0"/>
                <w:iCs w:val="0"/>
                <w:color w:val="003764"/>
                <w:sz w:val="24"/>
                <w:szCs w:val="24"/>
                <w:u w:val="single"/>
              </w:rPr>
            </w:pPr>
          </w:p>
        </w:tc>
        <w:tc>
          <w:tcPr>
            <w:tcW w:w="780" w:type="dxa"/>
            <w:tcBorders>
              <w:top w:val="nil"/>
              <w:left w:val="nil"/>
              <w:bottom w:val="nil"/>
              <w:right w:val="nil"/>
            </w:tcBorders>
            <w:shd w:val="clear" w:color="auto" w:fill="auto"/>
            <w:noWrap/>
            <w:vAlign w:val="bottom"/>
          </w:tcPr>
          <w:p w14:paraId="4459B319">
            <w:pPr>
              <w:rPr>
                <w:rFonts w:hint="default" w:ascii="Calibri" w:hAnsi="Calibri" w:cs="Calibri"/>
                <w:i w:val="0"/>
                <w:iCs w:val="0"/>
                <w:color w:val="000000"/>
                <w:sz w:val="24"/>
                <w:szCs w:val="24"/>
                <w:u w:val="none"/>
              </w:rPr>
            </w:pPr>
          </w:p>
        </w:tc>
        <w:tc>
          <w:tcPr>
            <w:tcW w:w="6180" w:type="dxa"/>
            <w:tcBorders>
              <w:top w:val="nil"/>
              <w:left w:val="nil"/>
              <w:bottom w:val="nil"/>
              <w:right w:val="nil"/>
            </w:tcBorders>
            <w:shd w:val="clear" w:color="auto" w:fill="auto"/>
            <w:noWrap/>
            <w:vAlign w:val="bottom"/>
          </w:tcPr>
          <w:p w14:paraId="3E9EDCA2">
            <w:pPr>
              <w:rPr>
                <w:rFonts w:hint="default" w:ascii="Calibri" w:hAnsi="Calibri" w:cs="Calibri"/>
                <w:i w:val="0"/>
                <w:iCs w:val="0"/>
                <w:color w:val="000000"/>
                <w:sz w:val="24"/>
                <w:szCs w:val="24"/>
                <w:u w:val="none"/>
              </w:rPr>
            </w:pPr>
          </w:p>
        </w:tc>
        <w:tc>
          <w:tcPr>
            <w:tcW w:w="1695" w:type="dxa"/>
            <w:tcBorders>
              <w:top w:val="nil"/>
              <w:left w:val="nil"/>
              <w:bottom w:val="nil"/>
              <w:right w:val="nil"/>
            </w:tcBorders>
            <w:shd w:val="clear" w:color="auto" w:fill="auto"/>
            <w:noWrap/>
            <w:vAlign w:val="bottom"/>
          </w:tcPr>
          <w:p w14:paraId="68956EFC">
            <w:pPr>
              <w:rPr>
                <w:rFonts w:hint="default" w:ascii="Calibri" w:hAnsi="Calibri" w:cs="Calibri"/>
                <w:i w:val="0"/>
                <w:iCs w:val="0"/>
                <w:color w:val="000000"/>
                <w:sz w:val="24"/>
                <w:szCs w:val="24"/>
                <w:u w:val="none"/>
              </w:rPr>
            </w:pPr>
          </w:p>
        </w:tc>
        <w:tc>
          <w:tcPr>
            <w:tcW w:w="1515" w:type="dxa"/>
            <w:tcBorders>
              <w:top w:val="nil"/>
              <w:left w:val="nil"/>
              <w:bottom w:val="nil"/>
              <w:right w:val="nil"/>
            </w:tcBorders>
            <w:shd w:val="clear" w:color="auto" w:fill="auto"/>
            <w:noWrap/>
            <w:vAlign w:val="bottom"/>
          </w:tcPr>
          <w:p w14:paraId="64B0ED63">
            <w:pPr>
              <w:rPr>
                <w:rFonts w:hint="default" w:ascii="Calibri" w:hAnsi="Calibri" w:cs="Calibri"/>
                <w:i w:val="0"/>
                <w:iCs w:val="0"/>
                <w:color w:val="000000"/>
                <w:sz w:val="24"/>
                <w:szCs w:val="24"/>
                <w:u w:val="none"/>
              </w:rPr>
            </w:pPr>
          </w:p>
        </w:tc>
        <w:tc>
          <w:tcPr>
            <w:tcW w:w="1440" w:type="dxa"/>
            <w:tcBorders>
              <w:top w:val="nil"/>
              <w:left w:val="nil"/>
              <w:bottom w:val="nil"/>
              <w:right w:val="nil"/>
            </w:tcBorders>
            <w:shd w:val="clear" w:color="auto" w:fill="auto"/>
            <w:noWrap/>
            <w:vAlign w:val="bottom"/>
          </w:tcPr>
          <w:p w14:paraId="44BDFFCA">
            <w:pPr>
              <w:rPr>
                <w:rFonts w:hint="default" w:ascii="Calibri" w:hAnsi="Calibri" w:cs="Calibri"/>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2D75C9FD">
            <w:pPr>
              <w:rPr>
                <w:rFonts w:hint="default" w:ascii="Calibri" w:hAnsi="Calibri" w:cs="Calibri"/>
                <w:i w:val="0"/>
                <w:iCs w:val="0"/>
                <w:color w:val="000000"/>
                <w:sz w:val="24"/>
                <w:szCs w:val="24"/>
                <w:u w:val="none"/>
              </w:rPr>
            </w:pPr>
          </w:p>
        </w:tc>
        <w:tc>
          <w:tcPr>
            <w:tcW w:w="945" w:type="dxa"/>
            <w:tcBorders>
              <w:top w:val="nil"/>
              <w:left w:val="nil"/>
              <w:bottom w:val="nil"/>
              <w:right w:val="nil"/>
            </w:tcBorders>
            <w:shd w:val="clear" w:color="auto" w:fill="auto"/>
            <w:noWrap/>
            <w:vAlign w:val="bottom"/>
          </w:tcPr>
          <w:p w14:paraId="5774BE55">
            <w:pPr>
              <w:rPr>
                <w:rFonts w:hint="default" w:ascii="Calibri" w:hAnsi="Calibri" w:cs="Calibri"/>
                <w:i w:val="0"/>
                <w:iCs w:val="0"/>
                <w:color w:val="000000"/>
                <w:sz w:val="24"/>
                <w:szCs w:val="24"/>
                <w:u w:val="none"/>
              </w:rPr>
            </w:pPr>
          </w:p>
        </w:tc>
      </w:tr>
      <w:tr w14:paraId="2562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17158CCB">
            <w:pPr>
              <w:rPr>
                <w:rFonts w:hint="default" w:ascii="Calibri" w:hAnsi="Calibri" w:cs="Calibri"/>
                <w:i w:val="0"/>
                <w:iCs w:val="0"/>
                <w:color w:val="000000"/>
                <w:sz w:val="24"/>
                <w:szCs w:val="24"/>
                <w:u w:val="none"/>
              </w:rPr>
            </w:pPr>
          </w:p>
        </w:tc>
        <w:tc>
          <w:tcPr>
            <w:tcW w:w="78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6F45CDAA">
            <w:pPr>
              <w:rPr>
                <w:rFonts w:hint="default" w:ascii="Calibri" w:hAnsi="Calibri" w:cs="Calibri"/>
                <w:b/>
                <w:bCs/>
                <w:i w:val="0"/>
                <w:iCs w:val="0"/>
                <w:color w:val="000000"/>
                <w:sz w:val="24"/>
                <w:szCs w:val="24"/>
                <w:u w:val="none"/>
              </w:rPr>
            </w:pPr>
          </w:p>
        </w:tc>
        <w:tc>
          <w:tcPr>
            <w:tcW w:w="618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2C9D61D9">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PRIHODI</w:t>
            </w:r>
          </w:p>
        </w:tc>
        <w:tc>
          <w:tcPr>
            <w:tcW w:w="169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19B5DEDA">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Plan  2025.</w:t>
            </w:r>
          </w:p>
        </w:tc>
        <w:tc>
          <w:tcPr>
            <w:tcW w:w="151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1F7D42C2">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Novi plan</w:t>
            </w:r>
          </w:p>
        </w:tc>
        <w:tc>
          <w:tcPr>
            <w:tcW w:w="144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099CBA20">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Realizacija 31.12.2025.</w:t>
            </w:r>
          </w:p>
        </w:tc>
        <w:tc>
          <w:tcPr>
            <w:tcW w:w="960" w:type="dxa"/>
            <w:tcBorders>
              <w:top w:val="single" w:color="000000" w:sz="2" w:space="0"/>
              <w:left w:val="single" w:color="000000" w:sz="2" w:space="0"/>
              <w:bottom w:val="nil"/>
              <w:right w:val="single" w:color="000000" w:sz="2" w:space="0"/>
            </w:tcBorders>
            <w:shd w:val="clear" w:color="auto" w:fill="DDEBF7"/>
            <w:vAlign w:val="center"/>
          </w:tcPr>
          <w:p w14:paraId="597258B6">
            <w:pPr>
              <w:jc w:val="cente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E55B718">
            <w:pPr>
              <w:rPr>
                <w:rFonts w:hint="default" w:ascii="Calibri" w:hAnsi="Calibri" w:cs="Calibri"/>
                <w:i w:val="0"/>
                <w:iCs w:val="0"/>
                <w:color w:val="000000"/>
                <w:sz w:val="24"/>
                <w:szCs w:val="24"/>
                <w:u w:val="none"/>
              </w:rPr>
            </w:pPr>
          </w:p>
        </w:tc>
      </w:tr>
      <w:tr w14:paraId="4E9D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577C3741">
            <w:pPr>
              <w:rPr>
                <w:rFonts w:hint="default" w:ascii="Calibri" w:hAnsi="Calibri" w:cs="Calibri"/>
                <w:i w:val="0"/>
                <w:iCs w:val="0"/>
                <w:color w:val="000000"/>
                <w:sz w:val="24"/>
                <w:szCs w:val="24"/>
                <w:u w:val="none"/>
              </w:rPr>
            </w:pPr>
          </w:p>
        </w:tc>
        <w:tc>
          <w:tcPr>
            <w:tcW w:w="7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4331AF4">
            <w:pPr>
              <w:rPr>
                <w:rFonts w:hint="default" w:ascii="Calibri" w:hAnsi="Calibri" w:cs="Calibri"/>
                <w:b/>
                <w:bCs/>
                <w:i w:val="0"/>
                <w:iCs w:val="0"/>
                <w:color w:val="000000"/>
                <w:sz w:val="24"/>
                <w:szCs w:val="24"/>
                <w:u w:val="none"/>
              </w:rPr>
            </w:pPr>
          </w:p>
        </w:tc>
        <w:tc>
          <w:tcPr>
            <w:tcW w:w="61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CF4DAE4">
            <w:pPr>
              <w:jc w:val="center"/>
              <w:rPr>
                <w:rFonts w:hint="default" w:ascii="Calibri" w:hAnsi="Calibri" w:cs="Calibri"/>
                <w:b/>
                <w:bCs/>
                <w:i w:val="0"/>
                <w:iCs w:val="0"/>
                <w:color w:val="000000"/>
                <w:sz w:val="24"/>
                <w:szCs w:val="24"/>
                <w:u w:val="none"/>
              </w:rPr>
            </w:pPr>
          </w:p>
        </w:tc>
        <w:tc>
          <w:tcPr>
            <w:tcW w:w="169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DE17B86">
            <w:pPr>
              <w:jc w:val="center"/>
              <w:rPr>
                <w:rFonts w:hint="default" w:ascii="Calibri" w:hAnsi="Calibri" w:cs="Calibri"/>
                <w:b/>
                <w:bCs/>
                <w:i w:val="0"/>
                <w:iCs w:val="0"/>
                <w:color w:val="000000"/>
                <w:sz w:val="24"/>
                <w:szCs w:val="24"/>
                <w:u w:val="none"/>
              </w:rPr>
            </w:pPr>
          </w:p>
        </w:tc>
        <w:tc>
          <w:tcPr>
            <w:tcW w:w="151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F4BE603">
            <w:pPr>
              <w:jc w:val="center"/>
              <w:rPr>
                <w:rFonts w:hint="default" w:ascii="Calibri" w:hAnsi="Calibri" w:cs="Calibri"/>
                <w:b/>
                <w:bCs/>
                <w:i w:val="0"/>
                <w:iCs w:val="0"/>
                <w:color w:val="000000"/>
                <w:sz w:val="24"/>
                <w:szCs w:val="24"/>
                <w:u w:val="none"/>
              </w:rPr>
            </w:pPr>
          </w:p>
        </w:tc>
        <w:tc>
          <w:tcPr>
            <w:tcW w:w="144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DB9668B">
            <w:pPr>
              <w:jc w:val="center"/>
              <w:rPr>
                <w:rFonts w:hint="default" w:ascii="Calibri" w:hAnsi="Calibri" w:cs="Calibri"/>
                <w:b/>
                <w:bCs/>
                <w:i w:val="0"/>
                <w:iCs w:val="0"/>
                <w:color w:val="000000"/>
                <w:sz w:val="24"/>
                <w:szCs w:val="24"/>
                <w:u w:val="none"/>
              </w:rPr>
            </w:pPr>
          </w:p>
        </w:tc>
        <w:tc>
          <w:tcPr>
            <w:tcW w:w="960" w:type="dxa"/>
            <w:tcBorders>
              <w:top w:val="nil"/>
              <w:left w:val="single" w:color="000000" w:sz="2" w:space="0"/>
              <w:bottom w:val="nil"/>
              <w:right w:val="single" w:color="000000" w:sz="2" w:space="0"/>
            </w:tcBorders>
            <w:shd w:val="clear" w:color="auto" w:fill="DDEBF7"/>
            <w:vAlign w:val="center"/>
          </w:tcPr>
          <w:p w14:paraId="07D9B53A">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INDEKS</w:t>
            </w:r>
          </w:p>
        </w:tc>
        <w:tc>
          <w:tcPr>
            <w:tcW w:w="0" w:type="auto"/>
            <w:tcBorders>
              <w:top w:val="nil"/>
              <w:left w:val="nil"/>
              <w:bottom w:val="nil"/>
              <w:right w:val="nil"/>
            </w:tcBorders>
            <w:shd w:val="clear" w:color="auto" w:fill="auto"/>
            <w:noWrap/>
            <w:vAlign w:val="bottom"/>
          </w:tcPr>
          <w:p w14:paraId="449C1EE5">
            <w:pPr>
              <w:rPr>
                <w:rFonts w:hint="default" w:ascii="Calibri" w:hAnsi="Calibri" w:cs="Calibri"/>
                <w:i w:val="0"/>
                <w:iCs w:val="0"/>
                <w:color w:val="000000"/>
                <w:sz w:val="24"/>
                <w:szCs w:val="24"/>
                <w:u w:val="none"/>
              </w:rPr>
            </w:pPr>
          </w:p>
        </w:tc>
      </w:tr>
      <w:tr w14:paraId="272E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55B62FEF">
            <w:pPr>
              <w:rPr>
                <w:rFonts w:hint="default" w:ascii="Calibri" w:hAnsi="Calibri" w:cs="Calibri"/>
                <w:i w:val="0"/>
                <w:iCs w:val="0"/>
                <w:color w:val="000000"/>
                <w:sz w:val="24"/>
                <w:szCs w:val="24"/>
                <w:u w:val="none"/>
              </w:rPr>
            </w:pPr>
          </w:p>
        </w:tc>
        <w:tc>
          <w:tcPr>
            <w:tcW w:w="7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0247A87">
            <w:pPr>
              <w:rPr>
                <w:rFonts w:hint="default" w:ascii="Calibri" w:hAnsi="Calibri" w:cs="Calibri"/>
                <w:b/>
                <w:bCs/>
                <w:i w:val="0"/>
                <w:iCs w:val="0"/>
                <w:color w:val="000000"/>
                <w:sz w:val="24"/>
                <w:szCs w:val="24"/>
                <w:u w:val="none"/>
              </w:rPr>
            </w:pPr>
          </w:p>
        </w:tc>
        <w:tc>
          <w:tcPr>
            <w:tcW w:w="61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79C1BC3A">
            <w:pPr>
              <w:jc w:val="center"/>
              <w:rPr>
                <w:rFonts w:hint="default" w:ascii="Calibri" w:hAnsi="Calibri" w:cs="Calibri"/>
                <w:b/>
                <w:bCs/>
                <w:i w:val="0"/>
                <w:iCs w:val="0"/>
                <w:color w:val="000000"/>
                <w:sz w:val="24"/>
                <w:szCs w:val="24"/>
                <w:u w:val="none"/>
              </w:rPr>
            </w:pPr>
          </w:p>
        </w:tc>
        <w:tc>
          <w:tcPr>
            <w:tcW w:w="169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FE9EE9C">
            <w:pPr>
              <w:jc w:val="center"/>
              <w:rPr>
                <w:rFonts w:hint="default" w:ascii="Calibri" w:hAnsi="Calibri" w:cs="Calibri"/>
                <w:b/>
                <w:bCs/>
                <w:i w:val="0"/>
                <w:iCs w:val="0"/>
                <w:color w:val="000000"/>
                <w:sz w:val="24"/>
                <w:szCs w:val="24"/>
                <w:u w:val="none"/>
              </w:rPr>
            </w:pPr>
          </w:p>
        </w:tc>
        <w:tc>
          <w:tcPr>
            <w:tcW w:w="151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3845269">
            <w:pPr>
              <w:jc w:val="center"/>
              <w:rPr>
                <w:rFonts w:hint="default" w:ascii="Calibri" w:hAnsi="Calibri" w:cs="Calibri"/>
                <w:b/>
                <w:bCs/>
                <w:i w:val="0"/>
                <w:iCs w:val="0"/>
                <w:color w:val="000000"/>
                <w:sz w:val="24"/>
                <w:szCs w:val="24"/>
                <w:u w:val="none"/>
              </w:rPr>
            </w:pPr>
          </w:p>
        </w:tc>
        <w:tc>
          <w:tcPr>
            <w:tcW w:w="144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7F232FC">
            <w:pPr>
              <w:jc w:val="center"/>
              <w:rPr>
                <w:rFonts w:hint="default" w:ascii="Calibri" w:hAnsi="Calibri" w:cs="Calibri"/>
                <w:b/>
                <w:bCs/>
                <w:i w:val="0"/>
                <w:iCs w:val="0"/>
                <w:color w:val="000000"/>
                <w:sz w:val="24"/>
                <w:szCs w:val="24"/>
                <w:u w:val="none"/>
              </w:rPr>
            </w:pPr>
          </w:p>
        </w:tc>
        <w:tc>
          <w:tcPr>
            <w:tcW w:w="960" w:type="dxa"/>
            <w:tcBorders>
              <w:top w:val="nil"/>
              <w:left w:val="single" w:color="000000" w:sz="2" w:space="0"/>
              <w:bottom w:val="single" w:color="000000" w:sz="2" w:space="0"/>
              <w:right w:val="single" w:color="000000" w:sz="2" w:space="0"/>
            </w:tcBorders>
            <w:shd w:val="clear" w:color="auto" w:fill="DDEBF7"/>
            <w:vAlign w:val="center"/>
          </w:tcPr>
          <w:p w14:paraId="7F880218">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Realizacija/Novi plan</w:t>
            </w:r>
          </w:p>
        </w:tc>
        <w:tc>
          <w:tcPr>
            <w:tcW w:w="0" w:type="auto"/>
            <w:tcBorders>
              <w:top w:val="nil"/>
              <w:left w:val="nil"/>
              <w:bottom w:val="nil"/>
              <w:right w:val="nil"/>
            </w:tcBorders>
            <w:shd w:val="clear" w:color="auto" w:fill="auto"/>
            <w:noWrap/>
            <w:vAlign w:val="bottom"/>
          </w:tcPr>
          <w:p w14:paraId="7A22168C">
            <w:pPr>
              <w:rPr>
                <w:rFonts w:hint="default" w:ascii="Calibri" w:hAnsi="Calibri" w:cs="Calibri"/>
                <w:i w:val="0"/>
                <w:iCs w:val="0"/>
                <w:color w:val="000000"/>
                <w:sz w:val="24"/>
                <w:szCs w:val="24"/>
                <w:u w:val="none"/>
              </w:rPr>
            </w:pPr>
          </w:p>
        </w:tc>
      </w:tr>
      <w:tr w14:paraId="0248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1839BF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45D5067">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1912D9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Izvorni prihodi</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E0EB03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189.000,00 €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B1B639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170.000,00 €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CEF2D9D">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167.200,00 €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E0EB01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98,35%</w:t>
            </w:r>
          </w:p>
        </w:tc>
        <w:tc>
          <w:tcPr>
            <w:tcW w:w="0" w:type="auto"/>
            <w:tcBorders>
              <w:top w:val="nil"/>
              <w:left w:val="nil"/>
              <w:bottom w:val="nil"/>
              <w:right w:val="nil"/>
            </w:tcBorders>
            <w:shd w:val="clear" w:color="auto" w:fill="auto"/>
            <w:noWrap/>
            <w:vAlign w:val="bottom"/>
          </w:tcPr>
          <w:p w14:paraId="51D6E935">
            <w:pPr>
              <w:rPr>
                <w:rFonts w:hint="default" w:ascii="Calibri" w:hAnsi="Calibri" w:cs="Calibri"/>
                <w:b/>
                <w:bCs/>
                <w:i w:val="0"/>
                <w:iCs w:val="0"/>
                <w:color w:val="000000"/>
                <w:sz w:val="24"/>
                <w:szCs w:val="24"/>
                <w:u w:val="none"/>
              </w:rPr>
            </w:pPr>
          </w:p>
        </w:tc>
      </w:tr>
      <w:tr w14:paraId="50BA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EA742D">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576EA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30C78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Turistička pristojba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BE6DC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86.000,00 €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39328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77.000,00 €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06DEE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77.000,00 €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0DAA0B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483CEDD">
            <w:pPr>
              <w:rPr>
                <w:rFonts w:hint="default" w:ascii="Calibri" w:hAnsi="Calibri" w:cs="Calibri"/>
                <w:i w:val="0"/>
                <w:iCs w:val="0"/>
                <w:color w:val="000000"/>
                <w:sz w:val="24"/>
                <w:szCs w:val="24"/>
                <w:u w:val="none"/>
              </w:rPr>
            </w:pPr>
          </w:p>
        </w:tc>
      </w:tr>
      <w:tr w14:paraId="5357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9195EB">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BE7AB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9FDB6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Turistička pristojba - nautika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DD03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90.000,00 €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B4434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EC4A8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77.200,00 €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ACA85F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96,50%</w:t>
            </w:r>
          </w:p>
        </w:tc>
        <w:tc>
          <w:tcPr>
            <w:tcW w:w="0" w:type="auto"/>
            <w:tcBorders>
              <w:top w:val="nil"/>
              <w:left w:val="nil"/>
              <w:bottom w:val="nil"/>
              <w:right w:val="nil"/>
            </w:tcBorders>
            <w:shd w:val="clear" w:color="auto" w:fill="auto"/>
            <w:noWrap/>
            <w:vAlign w:val="bottom"/>
          </w:tcPr>
          <w:p w14:paraId="695EFD78">
            <w:pPr>
              <w:rPr>
                <w:rFonts w:hint="default" w:ascii="Calibri" w:hAnsi="Calibri" w:cs="Calibri"/>
                <w:i w:val="0"/>
                <w:iCs w:val="0"/>
                <w:color w:val="000000"/>
                <w:sz w:val="24"/>
                <w:szCs w:val="24"/>
                <w:u w:val="none"/>
              </w:rPr>
            </w:pPr>
          </w:p>
        </w:tc>
      </w:tr>
      <w:tr w14:paraId="7F29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4AC33E">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C7D88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4C574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Članarina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F117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A59E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3E49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34E161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19D7ECBB">
            <w:pPr>
              <w:rPr>
                <w:rFonts w:hint="default" w:ascii="Calibri" w:hAnsi="Calibri" w:cs="Calibri"/>
                <w:i w:val="0"/>
                <w:iCs w:val="0"/>
                <w:color w:val="000000"/>
                <w:sz w:val="24"/>
                <w:szCs w:val="24"/>
                <w:u w:val="none"/>
              </w:rPr>
            </w:pPr>
          </w:p>
        </w:tc>
      </w:tr>
      <w:tr w14:paraId="0304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8A4156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2. </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6987A02">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FC2420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Prihodi iz proračuna općine/grada/županije i državnog proračuna</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5AB71D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6448FD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6697C9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6F7EA5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33FA5FE8">
            <w:pPr>
              <w:rPr>
                <w:rFonts w:hint="default" w:ascii="Calibri" w:hAnsi="Calibri" w:cs="Calibri"/>
                <w:b/>
                <w:bCs/>
                <w:i w:val="0"/>
                <w:iCs w:val="0"/>
                <w:color w:val="000000"/>
                <w:sz w:val="24"/>
                <w:szCs w:val="24"/>
                <w:u w:val="none"/>
              </w:rPr>
            </w:pPr>
          </w:p>
        </w:tc>
      </w:tr>
      <w:tr w14:paraId="5909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87558E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03525F7">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429CC8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Prihodi od sustava turističkih zajednica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E20DEE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CC813D1">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5C0E4D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3DD0DDD">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0173407D">
            <w:pPr>
              <w:rPr>
                <w:rFonts w:hint="default" w:ascii="Calibri" w:hAnsi="Calibri" w:cs="Calibri"/>
                <w:b/>
                <w:bCs/>
                <w:i w:val="0"/>
                <w:iCs w:val="0"/>
                <w:color w:val="000000"/>
                <w:sz w:val="24"/>
                <w:szCs w:val="24"/>
                <w:u w:val="none"/>
              </w:rPr>
            </w:pPr>
          </w:p>
        </w:tc>
      </w:tr>
      <w:tr w14:paraId="69DC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1FA3A3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16F4D8A">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BCEBCA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Prihodi iz EU fondova</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23123B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35.000,00 €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DDD5D7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265BDA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5464A4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60A74DBD">
            <w:pPr>
              <w:rPr>
                <w:rFonts w:hint="default" w:ascii="Calibri" w:hAnsi="Calibri" w:cs="Calibri"/>
                <w:b/>
                <w:bCs/>
                <w:i w:val="0"/>
                <w:iCs w:val="0"/>
                <w:color w:val="000000"/>
                <w:sz w:val="24"/>
                <w:szCs w:val="24"/>
                <w:u w:val="none"/>
              </w:rPr>
            </w:pPr>
          </w:p>
        </w:tc>
      </w:tr>
      <w:tr w14:paraId="15FC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E13075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A604C98">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209F57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Prihodi od gospodarske djelatnosti</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C0FA1A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4DB5D39">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35430F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1056AD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D1290F0">
            <w:pPr>
              <w:rPr>
                <w:rFonts w:hint="default" w:ascii="Calibri" w:hAnsi="Calibri" w:cs="Calibri"/>
                <w:b/>
                <w:bCs/>
                <w:i w:val="0"/>
                <w:iCs w:val="0"/>
                <w:color w:val="000000"/>
                <w:sz w:val="24"/>
                <w:szCs w:val="24"/>
                <w:u w:val="none"/>
              </w:rPr>
            </w:pPr>
          </w:p>
        </w:tc>
      </w:tr>
      <w:tr w14:paraId="35A8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0D996C5">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CF16546">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2C9B4A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Preneseni prihod iz prethodne godine</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0EED5B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32.084,00 €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2CBC991">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32.084,00 €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CD91D71">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32.084,00 €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987133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43E8BDDC">
            <w:pPr>
              <w:rPr>
                <w:rFonts w:hint="default" w:ascii="Calibri" w:hAnsi="Calibri" w:cs="Calibri"/>
                <w:b/>
                <w:bCs/>
                <w:i w:val="0"/>
                <w:iCs w:val="0"/>
                <w:color w:val="000000"/>
                <w:sz w:val="24"/>
                <w:szCs w:val="24"/>
                <w:u w:val="none"/>
              </w:rPr>
            </w:pPr>
          </w:p>
        </w:tc>
      </w:tr>
      <w:tr w14:paraId="64C1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06EE48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E602FB5">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862BEC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Ostali prihodi (donacije,kamate, uplate po Sporazumu…)</w:t>
            </w:r>
          </w:p>
        </w:tc>
        <w:tc>
          <w:tcPr>
            <w:tcW w:w="0" w:type="auto"/>
            <w:tcBorders>
              <w:top w:val="single" w:color="000000" w:sz="2" w:space="0"/>
              <w:left w:val="single" w:color="000000" w:sz="2" w:space="0"/>
              <w:bottom w:val="nil"/>
              <w:right w:val="single" w:color="000000" w:sz="2" w:space="0"/>
            </w:tcBorders>
            <w:shd w:val="clear" w:color="auto" w:fill="DDEBF7"/>
            <w:noWrap/>
            <w:vAlign w:val="center"/>
          </w:tcPr>
          <w:p w14:paraId="2240286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12984E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0DAEA34">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8AB496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164469E">
            <w:pPr>
              <w:rPr>
                <w:rFonts w:hint="default" w:ascii="Calibri" w:hAnsi="Calibri" w:cs="Calibri"/>
                <w:b/>
                <w:bCs/>
                <w:i w:val="0"/>
                <w:iCs w:val="0"/>
                <w:color w:val="000000"/>
                <w:sz w:val="24"/>
                <w:szCs w:val="24"/>
                <w:u w:val="none"/>
              </w:rPr>
            </w:pPr>
          </w:p>
        </w:tc>
      </w:tr>
      <w:tr w14:paraId="2AF7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2EAB4B3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w:t>
            </w:r>
          </w:p>
        </w:tc>
        <w:tc>
          <w:tcPr>
            <w:tcW w:w="780"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007C6A67">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6AF7844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FONDOVI - posebne namjene</w:t>
            </w: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47E2CCC7">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0513F84E">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064E4101">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3D08A1A3">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1D2D17A">
            <w:pPr>
              <w:rPr>
                <w:rFonts w:hint="default" w:ascii="Calibri" w:hAnsi="Calibri" w:cs="Calibri"/>
                <w:i w:val="0"/>
                <w:iCs w:val="0"/>
                <w:color w:val="000000"/>
                <w:sz w:val="24"/>
                <w:szCs w:val="24"/>
                <w:u w:val="none"/>
              </w:rPr>
            </w:pPr>
          </w:p>
        </w:tc>
      </w:tr>
      <w:tr w14:paraId="2357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4F0F3F">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5AC0DE">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F5AF30">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55C05E">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B2C654">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11FB0F">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5026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629D308">
            <w:pPr>
              <w:rPr>
                <w:rFonts w:hint="default" w:ascii="Calibri" w:hAnsi="Calibri" w:cs="Calibri"/>
                <w:i w:val="0"/>
                <w:iCs w:val="0"/>
                <w:color w:val="000000"/>
                <w:sz w:val="24"/>
                <w:szCs w:val="24"/>
                <w:u w:val="none"/>
              </w:rPr>
            </w:pPr>
          </w:p>
        </w:tc>
      </w:tr>
      <w:tr w14:paraId="7609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5" w:type="dxa"/>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1688683D">
            <w:pPr>
              <w:rPr>
                <w:rFonts w:hint="default" w:ascii="Calibri" w:hAnsi="Calibri" w:cs="Calibri"/>
                <w:b/>
                <w:bCs/>
                <w:i w:val="0"/>
                <w:iCs w:val="0"/>
                <w:color w:val="FFFFFF"/>
                <w:sz w:val="24"/>
                <w:szCs w:val="24"/>
                <w:u w:val="none"/>
              </w:rPr>
            </w:pPr>
          </w:p>
        </w:tc>
        <w:tc>
          <w:tcPr>
            <w:tcW w:w="6180" w:type="dxa"/>
            <w:tcBorders>
              <w:top w:val="single" w:color="000000" w:sz="2" w:space="0"/>
              <w:left w:val="single" w:color="000000" w:sz="2" w:space="0"/>
              <w:bottom w:val="single" w:color="000000" w:sz="2" w:space="0"/>
              <w:right w:val="nil"/>
            </w:tcBorders>
            <w:shd w:val="clear" w:color="auto" w:fill="003764"/>
            <w:vAlign w:val="center"/>
          </w:tcPr>
          <w:p w14:paraId="02DFD083">
            <w:pPr>
              <w:keepNext w:val="0"/>
              <w:keepLines w:val="0"/>
              <w:widowControl/>
              <w:suppressLineNumbers w:val="0"/>
              <w:jc w:val="lef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 xml:space="preserve">SVEUKUPNO </w:t>
            </w:r>
          </w:p>
        </w:tc>
        <w:tc>
          <w:tcPr>
            <w:tcW w:w="0" w:type="auto"/>
            <w:tcBorders>
              <w:top w:val="nil"/>
              <w:left w:val="nil"/>
              <w:bottom w:val="nil"/>
              <w:right w:val="nil"/>
            </w:tcBorders>
            <w:shd w:val="clear" w:color="auto" w:fill="003764"/>
            <w:noWrap/>
            <w:vAlign w:val="center"/>
          </w:tcPr>
          <w:p w14:paraId="21325275">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275.611,00 €</w:t>
            </w:r>
          </w:p>
        </w:tc>
        <w:tc>
          <w:tcPr>
            <w:tcW w:w="0" w:type="auto"/>
            <w:tcBorders>
              <w:top w:val="nil"/>
              <w:left w:val="nil"/>
              <w:bottom w:val="nil"/>
              <w:right w:val="nil"/>
            </w:tcBorders>
            <w:shd w:val="clear" w:color="auto" w:fill="203764"/>
            <w:noWrap/>
            <w:vAlign w:val="bottom"/>
          </w:tcPr>
          <w:p w14:paraId="35C229CA">
            <w:pPr>
              <w:keepNext w:val="0"/>
              <w:keepLines w:val="0"/>
              <w:widowControl/>
              <w:suppressLineNumbers w:val="0"/>
              <w:jc w:val="right"/>
              <w:textAlignment w:val="bottom"/>
              <w:rPr>
                <w:rFonts w:hint="default" w:ascii="Calibri" w:hAnsi="Calibri" w:cs="Calibri"/>
                <w:i w:val="0"/>
                <w:iCs w:val="0"/>
                <w:color w:val="FFFFFF"/>
                <w:u w:val="none"/>
              </w:rPr>
            </w:pPr>
            <w:r>
              <w:rPr>
                <w:rFonts w:hint="default" w:ascii="Calibri" w:hAnsi="Calibri" w:eastAsia="SimSun" w:cs="Calibri"/>
                <w:i w:val="0"/>
                <w:iCs w:val="0"/>
                <w:color w:val="FFFFFF"/>
                <w:kern w:val="0"/>
                <w:sz w:val="24"/>
                <w:szCs w:val="24"/>
                <w:u w:val="none"/>
                <w:lang w:val="en-US" w:eastAsia="zh-CN" w:bidi="ar"/>
              </w:rPr>
              <w:t>281.411,23 €</w:t>
            </w:r>
          </w:p>
        </w:tc>
        <w:tc>
          <w:tcPr>
            <w:tcW w:w="0" w:type="auto"/>
            <w:tcBorders>
              <w:top w:val="nil"/>
              <w:left w:val="nil"/>
              <w:bottom w:val="nil"/>
              <w:right w:val="nil"/>
            </w:tcBorders>
            <w:shd w:val="clear" w:color="auto" w:fill="003764"/>
            <w:noWrap/>
            <w:vAlign w:val="center"/>
          </w:tcPr>
          <w:p w14:paraId="3E82C553">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278.611,23 €</w:t>
            </w:r>
          </w:p>
        </w:tc>
        <w:tc>
          <w:tcPr>
            <w:tcW w:w="0" w:type="auto"/>
            <w:tcBorders>
              <w:top w:val="nil"/>
              <w:left w:val="nil"/>
              <w:bottom w:val="nil"/>
              <w:right w:val="nil"/>
            </w:tcBorders>
            <w:shd w:val="clear" w:color="auto" w:fill="203764"/>
            <w:noWrap/>
            <w:vAlign w:val="bottom"/>
          </w:tcPr>
          <w:p w14:paraId="6D1F2B57">
            <w:pPr>
              <w:keepNext w:val="0"/>
              <w:keepLines w:val="0"/>
              <w:widowControl/>
              <w:suppressLineNumbers w:val="0"/>
              <w:jc w:val="right"/>
              <w:textAlignment w:val="bottom"/>
              <w:rPr>
                <w:rFonts w:hint="default" w:ascii="Calibri" w:hAnsi="Calibri" w:cs="Calibri"/>
                <w:i w:val="0"/>
                <w:iCs w:val="0"/>
                <w:color w:val="FFFFFF"/>
                <w:u w:val="none"/>
              </w:rPr>
            </w:pPr>
            <w:r>
              <w:rPr>
                <w:rFonts w:hint="default" w:ascii="Calibri" w:hAnsi="Calibri" w:eastAsia="SimSun" w:cs="Calibri"/>
                <w:i w:val="0"/>
                <w:iCs w:val="0"/>
                <w:color w:val="FFFFFF"/>
                <w:kern w:val="0"/>
                <w:sz w:val="24"/>
                <w:szCs w:val="24"/>
                <w:u w:val="none"/>
                <w:lang w:val="en-US" w:eastAsia="zh-CN" w:bidi="ar"/>
              </w:rPr>
              <w:t>101,00%</w:t>
            </w:r>
          </w:p>
        </w:tc>
        <w:tc>
          <w:tcPr>
            <w:tcW w:w="0" w:type="auto"/>
            <w:tcBorders>
              <w:top w:val="nil"/>
              <w:left w:val="nil"/>
              <w:bottom w:val="nil"/>
              <w:right w:val="nil"/>
            </w:tcBorders>
            <w:shd w:val="clear" w:color="auto" w:fill="auto"/>
            <w:noWrap/>
            <w:vAlign w:val="bottom"/>
          </w:tcPr>
          <w:p w14:paraId="19E30D34">
            <w:pPr>
              <w:rPr>
                <w:rFonts w:hint="default" w:ascii="Calibri" w:hAnsi="Calibri" w:cs="Calibri"/>
                <w:i w:val="0"/>
                <w:iCs w:val="0"/>
                <w:color w:val="000000"/>
                <w:sz w:val="24"/>
                <w:szCs w:val="24"/>
                <w:u w:val="none"/>
              </w:rPr>
            </w:pPr>
          </w:p>
        </w:tc>
      </w:tr>
      <w:tr w14:paraId="7512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4CE228">
            <w:pPr>
              <w:rPr>
                <w:rFonts w:hint="default" w:ascii="Calibri" w:hAnsi="Calibri" w:cs="Calibri"/>
                <w:b/>
                <w:bCs/>
                <w:i w:val="0"/>
                <w:iCs w:val="0"/>
                <w:color w:val="FFFFFF"/>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26B6E0">
            <w:pPr>
              <w:rPr>
                <w:rFonts w:hint="default" w:ascii="Calibri" w:hAnsi="Calibri" w:cs="Calibri"/>
                <w:b/>
                <w:bCs/>
                <w:i w:val="0"/>
                <w:iCs w:val="0"/>
                <w:color w:val="FFFFFF"/>
                <w:sz w:val="24"/>
                <w:szCs w:val="24"/>
                <w:u w:val="none"/>
              </w:rPr>
            </w:pPr>
          </w:p>
        </w:tc>
        <w:tc>
          <w:tcPr>
            <w:tcW w:w="6180" w:type="dxa"/>
            <w:tcBorders>
              <w:top w:val="single" w:color="000000" w:sz="2" w:space="0"/>
              <w:left w:val="single" w:color="000000" w:sz="2" w:space="0"/>
              <w:bottom w:val="single" w:color="000000" w:sz="2" w:space="0"/>
              <w:right w:val="nil"/>
            </w:tcBorders>
            <w:shd w:val="clear" w:color="auto" w:fill="FFFFFF"/>
            <w:vAlign w:val="center"/>
          </w:tcPr>
          <w:p w14:paraId="0A39BCDB">
            <w:pPr>
              <w:rPr>
                <w:rFonts w:hint="default" w:ascii="Calibri" w:hAnsi="Calibri" w:cs="Calibri"/>
                <w:b/>
                <w:bCs/>
                <w:i w:val="0"/>
                <w:iCs w:val="0"/>
                <w:color w:val="FFFFFF"/>
                <w:sz w:val="24"/>
                <w:szCs w:val="24"/>
                <w:u w:val="none"/>
              </w:rPr>
            </w:pPr>
          </w:p>
        </w:tc>
        <w:tc>
          <w:tcPr>
            <w:tcW w:w="0" w:type="auto"/>
            <w:tcBorders>
              <w:top w:val="nil"/>
              <w:left w:val="nil"/>
              <w:bottom w:val="nil"/>
              <w:right w:val="nil"/>
            </w:tcBorders>
            <w:shd w:val="clear" w:color="auto" w:fill="FFFFFF"/>
            <w:noWrap/>
            <w:vAlign w:val="center"/>
          </w:tcPr>
          <w:p w14:paraId="77D8388E">
            <w:pPr>
              <w:rPr>
                <w:rFonts w:hint="default" w:ascii="Calibri" w:hAnsi="Calibri" w:cs="Calibri"/>
                <w:b/>
                <w:bCs/>
                <w:i w:val="0"/>
                <w:iCs w:val="0"/>
                <w:color w:val="FFFFFF"/>
                <w:sz w:val="24"/>
                <w:szCs w:val="24"/>
                <w:u w:val="none"/>
              </w:rPr>
            </w:pPr>
          </w:p>
        </w:tc>
        <w:tc>
          <w:tcPr>
            <w:tcW w:w="0" w:type="auto"/>
            <w:tcBorders>
              <w:top w:val="nil"/>
              <w:left w:val="nil"/>
              <w:bottom w:val="nil"/>
              <w:right w:val="nil"/>
            </w:tcBorders>
            <w:shd w:val="clear" w:color="auto" w:fill="FFFFFF"/>
            <w:noWrap/>
            <w:vAlign w:val="bottom"/>
          </w:tcPr>
          <w:p w14:paraId="2E03375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FFFFFF"/>
            <w:noWrap/>
            <w:vAlign w:val="bottom"/>
          </w:tcPr>
          <w:p w14:paraId="6F2CA23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FFFFFF"/>
            <w:noWrap/>
            <w:vAlign w:val="bottom"/>
          </w:tcPr>
          <w:p w14:paraId="2F18CD6D">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FFFFFF"/>
            <w:noWrap/>
            <w:vAlign w:val="bottom"/>
          </w:tcPr>
          <w:p w14:paraId="170E4585">
            <w:pPr>
              <w:rPr>
                <w:rFonts w:hint="default" w:ascii="Calibri" w:hAnsi="Calibri" w:cs="Calibri"/>
                <w:i w:val="0"/>
                <w:iCs w:val="0"/>
                <w:color w:val="000000"/>
                <w:sz w:val="24"/>
                <w:szCs w:val="24"/>
                <w:u w:val="none"/>
              </w:rPr>
            </w:pPr>
          </w:p>
        </w:tc>
      </w:tr>
      <w:tr w14:paraId="7D3B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4678280A">
            <w:pPr>
              <w:rPr>
                <w:rFonts w:hint="default" w:ascii="Calibri" w:hAnsi="Calibri" w:cs="Calibri"/>
                <w:b/>
                <w:bCs/>
                <w:i w:val="0"/>
                <w:iCs w:val="0"/>
                <w:color w:val="000000"/>
                <w:sz w:val="24"/>
                <w:szCs w:val="24"/>
                <w:u w:val="none"/>
              </w:rPr>
            </w:pPr>
          </w:p>
        </w:tc>
        <w:tc>
          <w:tcPr>
            <w:tcW w:w="78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763B0B35">
            <w:pPr>
              <w:rPr>
                <w:rFonts w:hint="default" w:ascii="Calibri" w:hAnsi="Calibri" w:cs="Calibri"/>
                <w:b/>
                <w:bCs/>
                <w:i w:val="0"/>
                <w:iCs w:val="0"/>
                <w:color w:val="000000"/>
                <w:sz w:val="24"/>
                <w:szCs w:val="24"/>
                <w:u w:val="none"/>
              </w:rPr>
            </w:pPr>
          </w:p>
        </w:tc>
        <w:tc>
          <w:tcPr>
            <w:tcW w:w="618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7DAA1641">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AKTIVNOSTI</w:t>
            </w:r>
          </w:p>
        </w:tc>
        <w:tc>
          <w:tcPr>
            <w:tcW w:w="169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318326CD">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Plan 2025.</w:t>
            </w:r>
          </w:p>
        </w:tc>
        <w:tc>
          <w:tcPr>
            <w:tcW w:w="151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22BAAB52">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Novi plan</w:t>
            </w:r>
          </w:p>
        </w:tc>
        <w:tc>
          <w:tcPr>
            <w:tcW w:w="144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296E33C2">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Realizacija 31.12.2025.</w:t>
            </w:r>
          </w:p>
        </w:tc>
        <w:tc>
          <w:tcPr>
            <w:tcW w:w="960" w:type="dxa"/>
            <w:tcBorders>
              <w:top w:val="single" w:color="000000" w:sz="2" w:space="0"/>
              <w:left w:val="single" w:color="000000" w:sz="2" w:space="0"/>
              <w:bottom w:val="nil"/>
              <w:right w:val="single" w:color="000000" w:sz="2" w:space="0"/>
            </w:tcBorders>
            <w:shd w:val="clear" w:color="auto" w:fill="DDEBF7"/>
            <w:vAlign w:val="center"/>
          </w:tcPr>
          <w:p w14:paraId="7502B647">
            <w:pPr>
              <w:jc w:val="cente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A89AC61">
            <w:pPr>
              <w:rPr>
                <w:rFonts w:hint="default" w:ascii="Calibri" w:hAnsi="Calibri" w:cs="Calibri"/>
                <w:i w:val="0"/>
                <w:iCs w:val="0"/>
                <w:color w:val="000000"/>
                <w:sz w:val="24"/>
                <w:szCs w:val="24"/>
                <w:u w:val="none"/>
              </w:rPr>
            </w:pPr>
          </w:p>
        </w:tc>
      </w:tr>
      <w:tr w14:paraId="41F3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66AB80D1">
            <w:pPr>
              <w:rPr>
                <w:rFonts w:hint="default" w:ascii="Calibri" w:hAnsi="Calibri" w:cs="Calibri"/>
                <w:b/>
                <w:bCs/>
                <w:i w:val="0"/>
                <w:iCs w:val="0"/>
                <w:color w:val="000000"/>
                <w:sz w:val="24"/>
                <w:szCs w:val="24"/>
                <w:u w:val="none"/>
              </w:rPr>
            </w:pPr>
          </w:p>
        </w:tc>
        <w:tc>
          <w:tcPr>
            <w:tcW w:w="7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7BCF9D5C">
            <w:pPr>
              <w:rPr>
                <w:rFonts w:hint="default" w:ascii="Calibri" w:hAnsi="Calibri" w:cs="Calibri"/>
                <w:b/>
                <w:bCs/>
                <w:i w:val="0"/>
                <w:iCs w:val="0"/>
                <w:color w:val="000000"/>
                <w:sz w:val="24"/>
                <w:szCs w:val="24"/>
                <w:u w:val="none"/>
              </w:rPr>
            </w:pPr>
          </w:p>
        </w:tc>
        <w:tc>
          <w:tcPr>
            <w:tcW w:w="61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7DFDF40E">
            <w:pPr>
              <w:jc w:val="center"/>
              <w:rPr>
                <w:rFonts w:hint="default" w:ascii="Calibri" w:hAnsi="Calibri" w:cs="Calibri"/>
                <w:b/>
                <w:bCs/>
                <w:i w:val="0"/>
                <w:iCs w:val="0"/>
                <w:color w:val="000000"/>
                <w:sz w:val="24"/>
                <w:szCs w:val="24"/>
                <w:u w:val="none"/>
              </w:rPr>
            </w:pPr>
          </w:p>
        </w:tc>
        <w:tc>
          <w:tcPr>
            <w:tcW w:w="169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2E1547E">
            <w:pPr>
              <w:jc w:val="center"/>
              <w:rPr>
                <w:rFonts w:hint="default" w:ascii="Calibri" w:hAnsi="Calibri" w:cs="Calibri"/>
                <w:b/>
                <w:bCs/>
                <w:i w:val="0"/>
                <w:iCs w:val="0"/>
                <w:color w:val="000000"/>
                <w:sz w:val="24"/>
                <w:szCs w:val="24"/>
                <w:u w:val="none"/>
              </w:rPr>
            </w:pPr>
          </w:p>
        </w:tc>
        <w:tc>
          <w:tcPr>
            <w:tcW w:w="151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621E1BAA">
            <w:pPr>
              <w:jc w:val="center"/>
              <w:rPr>
                <w:rFonts w:hint="default" w:ascii="Calibri" w:hAnsi="Calibri" w:cs="Calibri"/>
                <w:b/>
                <w:bCs/>
                <w:i w:val="0"/>
                <w:iCs w:val="0"/>
                <w:color w:val="000000"/>
                <w:sz w:val="24"/>
                <w:szCs w:val="24"/>
                <w:u w:val="none"/>
              </w:rPr>
            </w:pPr>
          </w:p>
        </w:tc>
        <w:tc>
          <w:tcPr>
            <w:tcW w:w="144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17A4E8A">
            <w:pPr>
              <w:jc w:val="center"/>
              <w:rPr>
                <w:rFonts w:hint="default" w:ascii="Calibri" w:hAnsi="Calibri" w:cs="Calibri"/>
                <w:b/>
                <w:bCs/>
                <w:i w:val="0"/>
                <w:iCs w:val="0"/>
                <w:color w:val="000000"/>
                <w:sz w:val="24"/>
                <w:szCs w:val="24"/>
                <w:u w:val="none"/>
              </w:rPr>
            </w:pPr>
          </w:p>
        </w:tc>
        <w:tc>
          <w:tcPr>
            <w:tcW w:w="960" w:type="dxa"/>
            <w:tcBorders>
              <w:top w:val="nil"/>
              <w:left w:val="single" w:color="000000" w:sz="2" w:space="0"/>
              <w:bottom w:val="nil"/>
              <w:right w:val="single" w:color="000000" w:sz="2" w:space="0"/>
            </w:tcBorders>
            <w:shd w:val="clear" w:color="auto" w:fill="DDEBF7"/>
            <w:vAlign w:val="center"/>
          </w:tcPr>
          <w:p w14:paraId="30134D50">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INDEKS</w:t>
            </w:r>
          </w:p>
        </w:tc>
        <w:tc>
          <w:tcPr>
            <w:tcW w:w="0" w:type="auto"/>
            <w:tcBorders>
              <w:top w:val="nil"/>
              <w:left w:val="nil"/>
              <w:bottom w:val="nil"/>
              <w:right w:val="nil"/>
            </w:tcBorders>
            <w:shd w:val="clear" w:color="auto" w:fill="auto"/>
            <w:noWrap/>
            <w:vAlign w:val="bottom"/>
          </w:tcPr>
          <w:p w14:paraId="3E63BBCD">
            <w:pPr>
              <w:rPr>
                <w:rFonts w:hint="default" w:ascii="Calibri" w:hAnsi="Calibri" w:cs="Calibri"/>
                <w:i w:val="0"/>
                <w:iCs w:val="0"/>
                <w:color w:val="000000"/>
                <w:sz w:val="24"/>
                <w:szCs w:val="24"/>
                <w:u w:val="none"/>
              </w:rPr>
            </w:pPr>
          </w:p>
        </w:tc>
      </w:tr>
      <w:tr w14:paraId="51E5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17B15947">
            <w:pPr>
              <w:rPr>
                <w:rFonts w:hint="default" w:ascii="Calibri" w:hAnsi="Calibri" w:cs="Calibri"/>
                <w:b/>
                <w:bCs/>
                <w:i w:val="0"/>
                <w:iCs w:val="0"/>
                <w:color w:val="000000"/>
                <w:sz w:val="24"/>
                <w:szCs w:val="24"/>
                <w:u w:val="none"/>
              </w:rPr>
            </w:pPr>
          </w:p>
        </w:tc>
        <w:tc>
          <w:tcPr>
            <w:tcW w:w="7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6CE3D0FF">
            <w:pPr>
              <w:rPr>
                <w:rFonts w:hint="default" w:ascii="Calibri" w:hAnsi="Calibri" w:cs="Calibri"/>
                <w:b/>
                <w:bCs/>
                <w:i w:val="0"/>
                <w:iCs w:val="0"/>
                <w:color w:val="000000"/>
                <w:sz w:val="24"/>
                <w:szCs w:val="24"/>
                <w:u w:val="none"/>
              </w:rPr>
            </w:pPr>
          </w:p>
        </w:tc>
        <w:tc>
          <w:tcPr>
            <w:tcW w:w="61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197D59C6">
            <w:pPr>
              <w:jc w:val="center"/>
              <w:rPr>
                <w:rFonts w:hint="default" w:ascii="Calibri" w:hAnsi="Calibri" w:cs="Calibri"/>
                <w:b/>
                <w:bCs/>
                <w:i w:val="0"/>
                <w:iCs w:val="0"/>
                <w:color w:val="000000"/>
                <w:sz w:val="24"/>
                <w:szCs w:val="24"/>
                <w:u w:val="none"/>
              </w:rPr>
            </w:pPr>
          </w:p>
        </w:tc>
        <w:tc>
          <w:tcPr>
            <w:tcW w:w="169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57168F33">
            <w:pPr>
              <w:jc w:val="center"/>
              <w:rPr>
                <w:rFonts w:hint="default" w:ascii="Calibri" w:hAnsi="Calibri" w:cs="Calibri"/>
                <w:b/>
                <w:bCs/>
                <w:i w:val="0"/>
                <w:iCs w:val="0"/>
                <w:color w:val="000000"/>
                <w:sz w:val="24"/>
                <w:szCs w:val="24"/>
                <w:u w:val="none"/>
              </w:rPr>
            </w:pPr>
          </w:p>
        </w:tc>
        <w:tc>
          <w:tcPr>
            <w:tcW w:w="151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1A48FAC8">
            <w:pPr>
              <w:jc w:val="center"/>
              <w:rPr>
                <w:rFonts w:hint="default" w:ascii="Calibri" w:hAnsi="Calibri" w:cs="Calibri"/>
                <w:b/>
                <w:bCs/>
                <w:i w:val="0"/>
                <w:iCs w:val="0"/>
                <w:color w:val="000000"/>
                <w:sz w:val="24"/>
                <w:szCs w:val="24"/>
                <w:u w:val="none"/>
              </w:rPr>
            </w:pPr>
          </w:p>
        </w:tc>
        <w:tc>
          <w:tcPr>
            <w:tcW w:w="144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55B028B5">
            <w:pPr>
              <w:jc w:val="center"/>
              <w:rPr>
                <w:rFonts w:hint="default" w:ascii="Calibri" w:hAnsi="Calibri" w:cs="Calibri"/>
                <w:b/>
                <w:bCs/>
                <w:i w:val="0"/>
                <w:iCs w:val="0"/>
                <w:color w:val="000000"/>
                <w:sz w:val="24"/>
                <w:szCs w:val="24"/>
                <w:u w:val="none"/>
              </w:rPr>
            </w:pPr>
          </w:p>
        </w:tc>
        <w:tc>
          <w:tcPr>
            <w:tcW w:w="960" w:type="dxa"/>
            <w:tcBorders>
              <w:top w:val="nil"/>
              <w:left w:val="single" w:color="000000" w:sz="2" w:space="0"/>
              <w:bottom w:val="single" w:color="000000" w:sz="2" w:space="0"/>
              <w:right w:val="single" w:color="000000" w:sz="2" w:space="0"/>
            </w:tcBorders>
            <w:shd w:val="clear" w:color="auto" w:fill="DDEBF7"/>
            <w:vAlign w:val="center"/>
          </w:tcPr>
          <w:p w14:paraId="0C46EFE8">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Realizacija/Novi plan</w:t>
            </w:r>
          </w:p>
        </w:tc>
        <w:tc>
          <w:tcPr>
            <w:tcW w:w="0" w:type="auto"/>
            <w:tcBorders>
              <w:top w:val="nil"/>
              <w:left w:val="nil"/>
              <w:bottom w:val="nil"/>
              <w:right w:val="nil"/>
            </w:tcBorders>
            <w:shd w:val="clear" w:color="auto" w:fill="auto"/>
            <w:noWrap/>
            <w:vAlign w:val="bottom"/>
          </w:tcPr>
          <w:p w14:paraId="652301CA">
            <w:pPr>
              <w:rPr>
                <w:rFonts w:hint="default" w:ascii="Calibri" w:hAnsi="Calibri" w:cs="Calibri"/>
                <w:i w:val="0"/>
                <w:iCs w:val="0"/>
                <w:color w:val="000000"/>
                <w:sz w:val="24"/>
                <w:szCs w:val="24"/>
                <w:u w:val="none"/>
              </w:rPr>
            </w:pPr>
          </w:p>
        </w:tc>
      </w:tr>
      <w:tr w14:paraId="3CF5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9D8ED3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44C084A">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900C0B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ISTRAŽIVANJE I STRATEŠKO PLANIRANJE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B188942">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B5A6205">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EF5518E">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5088743">
            <w:pP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56EA3DA">
            <w:pPr>
              <w:rPr>
                <w:rFonts w:hint="default" w:ascii="Calibri" w:hAnsi="Calibri" w:cs="Calibri"/>
                <w:i w:val="0"/>
                <w:iCs w:val="0"/>
                <w:color w:val="000000"/>
                <w:sz w:val="24"/>
                <w:szCs w:val="24"/>
                <w:u w:val="none"/>
              </w:rPr>
            </w:pPr>
          </w:p>
        </w:tc>
      </w:tr>
      <w:tr w14:paraId="27FB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258B19">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93D67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E19C4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Izrada strateških/operativnih/komunikacijskih/akcijskih dokumenata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0F35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0C4DD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CEC5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493A39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195EF835">
            <w:pPr>
              <w:keepNext w:val="0"/>
              <w:keepLines w:val="0"/>
              <w:widowControl/>
              <w:suppressLineNumbers w:val="0"/>
              <w:jc w:val="left"/>
              <w:textAlignment w:val="bottom"/>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kapacitet nosivosti i PU</w:t>
            </w:r>
          </w:p>
        </w:tc>
      </w:tr>
      <w:tr w14:paraId="69DA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A9C0E7">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81D1B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0949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Akcijski i operativni planovi (pod. kvalit. nautike)</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649F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5A340E">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EBA7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862642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#DIV/0!</w:t>
            </w:r>
          </w:p>
        </w:tc>
        <w:tc>
          <w:tcPr>
            <w:tcW w:w="0" w:type="auto"/>
            <w:tcBorders>
              <w:top w:val="nil"/>
              <w:left w:val="nil"/>
              <w:bottom w:val="nil"/>
              <w:right w:val="nil"/>
            </w:tcBorders>
            <w:shd w:val="clear" w:color="auto" w:fill="auto"/>
            <w:noWrap/>
            <w:vAlign w:val="bottom"/>
          </w:tcPr>
          <w:p w14:paraId="16354EAC">
            <w:pPr>
              <w:rPr>
                <w:rFonts w:hint="default" w:ascii="Calibri" w:hAnsi="Calibri" w:cs="Calibri"/>
                <w:i w:val="0"/>
                <w:iCs w:val="0"/>
                <w:color w:val="000000"/>
                <w:sz w:val="24"/>
                <w:szCs w:val="24"/>
                <w:u w:val="none"/>
              </w:rPr>
            </w:pPr>
          </w:p>
        </w:tc>
      </w:tr>
      <w:tr w14:paraId="7C4C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3EDD5">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C24BA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A4D66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Istraživanje i analiza tržišta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6FB3E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F550A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12C7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6F7BE7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7950BF5">
            <w:pPr>
              <w:keepNext w:val="0"/>
              <w:keepLines w:val="0"/>
              <w:widowControl/>
              <w:suppressLineNumbers w:val="0"/>
              <w:jc w:val="left"/>
              <w:textAlignment w:val="bottom"/>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arh.istraž.</w:t>
            </w:r>
          </w:p>
        </w:tc>
      </w:tr>
      <w:tr w14:paraId="5AC7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5EF0C5">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2D10B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A42DF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Mjerenje učinkovitosti promotivnih aktivnosti</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8D4E2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265,00 €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D2B244">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265,45 €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082EE">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265,45 €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5331A5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31C9AB18">
            <w:pPr>
              <w:rPr>
                <w:rFonts w:hint="default" w:ascii="Calibri" w:hAnsi="Calibri" w:cs="Calibri"/>
                <w:i w:val="0"/>
                <w:iCs w:val="0"/>
                <w:color w:val="000000"/>
                <w:sz w:val="24"/>
                <w:szCs w:val="24"/>
                <w:u w:val="none"/>
              </w:rPr>
            </w:pPr>
          </w:p>
        </w:tc>
      </w:tr>
      <w:tr w14:paraId="61F5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4AB14B4">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62E02AB8">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36FD0F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RAZVOJ TURISTIČKOG PROIZVODA</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73046AB">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47DD08B">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7241CFA">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876AD78">
            <w:pP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B484BAE">
            <w:pPr>
              <w:rPr>
                <w:rFonts w:hint="default" w:ascii="Calibri" w:hAnsi="Calibri" w:cs="Calibri"/>
                <w:i w:val="0"/>
                <w:iCs w:val="0"/>
                <w:color w:val="000000"/>
                <w:sz w:val="24"/>
                <w:szCs w:val="24"/>
                <w:u w:val="none"/>
              </w:rPr>
            </w:pPr>
          </w:p>
        </w:tc>
      </w:tr>
      <w:tr w14:paraId="4135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DC52BE">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C7340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98A52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Razvojne aktivnosti - povezivanje elemenata ponude u pakete i proizvode (Magic Trail; Eno-gastro, EU projekti - Soliona, Zadarski arhipelag)</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17F9C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2942C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200B5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15.000,00 €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9BEB0D9">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EEA5921">
            <w:pPr>
              <w:rPr>
                <w:rFonts w:hint="default" w:ascii="Calibri" w:hAnsi="Calibri" w:cs="Calibri"/>
                <w:i w:val="0"/>
                <w:iCs w:val="0"/>
                <w:color w:val="000000"/>
                <w:sz w:val="24"/>
                <w:szCs w:val="24"/>
                <w:u w:val="none"/>
              </w:rPr>
            </w:pPr>
          </w:p>
        </w:tc>
      </w:tr>
      <w:tr w14:paraId="6290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D33444">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657F4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A663E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Razvoj događanja u destinaciji i drugih motiva dolaska u destinaciju (Dugi otok Trail, Dani ljekovitog bilja, Saljske užance, Triatlon Long Island)</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5DC4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2A151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C870C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6CCE804">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0C1AD31F">
            <w:pPr>
              <w:rPr>
                <w:rFonts w:hint="default" w:ascii="Calibri" w:hAnsi="Calibri" w:cs="Calibri"/>
                <w:i w:val="0"/>
                <w:iCs w:val="0"/>
                <w:color w:val="000000"/>
                <w:sz w:val="24"/>
                <w:szCs w:val="24"/>
                <w:u w:val="none"/>
              </w:rPr>
            </w:pPr>
          </w:p>
        </w:tc>
      </w:tr>
      <w:tr w14:paraId="6014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324AE">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EE962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F5621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Sustavi označavanja kvalitete turističkog proizvoda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220ED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B4F473">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730B7E">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050EAC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91E46CC">
            <w:pPr>
              <w:rPr>
                <w:rFonts w:hint="default" w:ascii="Calibri" w:hAnsi="Calibri" w:cs="Calibri"/>
                <w:i w:val="0"/>
                <w:iCs w:val="0"/>
                <w:color w:val="000000"/>
                <w:sz w:val="24"/>
                <w:szCs w:val="24"/>
                <w:u w:val="none"/>
              </w:rPr>
            </w:pPr>
          </w:p>
        </w:tc>
      </w:tr>
      <w:tr w14:paraId="27A1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C0E6A">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4694D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4415F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Podrška razvoju turističkog proizvoda (Tematski staze,signalizacija i park)</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78B2C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AF08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17.700,00 €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68062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17.700,00 €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8EA41A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52D48F8">
            <w:pPr>
              <w:keepNext w:val="0"/>
              <w:keepLines w:val="0"/>
              <w:widowControl/>
              <w:suppressLineNumbers w:val="0"/>
              <w:jc w:val="left"/>
              <w:textAlignment w:val="bottom"/>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maslinik, staze</w:t>
            </w:r>
          </w:p>
        </w:tc>
      </w:tr>
      <w:tr w14:paraId="5829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560D1">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49510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2.5.</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DD392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Podrška turističkoj industriji</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EA72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2694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C0F2E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1C8B5C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64F7B9D0">
            <w:pPr>
              <w:keepNext w:val="0"/>
              <w:keepLines w:val="0"/>
              <w:widowControl/>
              <w:suppressLineNumbers w:val="0"/>
              <w:jc w:val="left"/>
              <w:textAlignment w:val="bottom"/>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potpore udrugama</w:t>
            </w:r>
          </w:p>
        </w:tc>
      </w:tr>
      <w:tr w14:paraId="51C2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E74D62">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7B1EE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50569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Podrška razvoju turističkih događanja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19913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26C4D3">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045C4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FA83B3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3AD6FD27">
            <w:pPr>
              <w:rPr>
                <w:rFonts w:hint="default" w:ascii="Calibri" w:hAnsi="Calibri" w:cs="Calibri"/>
                <w:i w:val="0"/>
                <w:iCs w:val="0"/>
                <w:color w:val="000000"/>
                <w:sz w:val="24"/>
                <w:szCs w:val="24"/>
                <w:u w:val="none"/>
              </w:rPr>
            </w:pPr>
          </w:p>
        </w:tc>
      </w:tr>
      <w:tr w14:paraId="21A2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394ED6">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34C4B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DAB79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Turistička infrastruktura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4F71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F1F1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B59C8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3CEE6BF">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AF4F229">
            <w:pPr>
              <w:rPr>
                <w:rFonts w:hint="default" w:ascii="Calibri" w:hAnsi="Calibri" w:cs="Calibri"/>
                <w:i w:val="0"/>
                <w:iCs w:val="0"/>
                <w:color w:val="000000"/>
                <w:sz w:val="24"/>
                <w:szCs w:val="24"/>
                <w:u w:val="none"/>
              </w:rPr>
            </w:pPr>
          </w:p>
        </w:tc>
      </w:tr>
      <w:tr w14:paraId="6FE8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048E98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B81E768">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D32021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KOMUNIKACIJA I OGLAŠAVANJE</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AB49E3E">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59C274">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2BE9A90">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68F3411">
            <w:pP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9F7F777">
            <w:pPr>
              <w:rPr>
                <w:rFonts w:hint="default" w:ascii="Calibri" w:hAnsi="Calibri" w:cs="Calibri"/>
                <w:i w:val="0"/>
                <w:iCs w:val="0"/>
                <w:color w:val="000000"/>
                <w:sz w:val="24"/>
                <w:szCs w:val="24"/>
                <w:u w:val="none"/>
              </w:rPr>
            </w:pPr>
          </w:p>
        </w:tc>
      </w:tr>
      <w:tr w14:paraId="26DA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5CA142">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EE452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75A12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Oglašavanje destinacijskog branda, turističke ponude i proizvoda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3D99F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DF771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295F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153F15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#DIV/0!</w:t>
            </w:r>
          </w:p>
        </w:tc>
        <w:tc>
          <w:tcPr>
            <w:tcW w:w="0" w:type="auto"/>
            <w:tcBorders>
              <w:top w:val="nil"/>
              <w:left w:val="nil"/>
              <w:bottom w:val="nil"/>
              <w:right w:val="nil"/>
            </w:tcBorders>
            <w:shd w:val="clear" w:color="auto" w:fill="auto"/>
            <w:noWrap/>
            <w:vAlign w:val="bottom"/>
          </w:tcPr>
          <w:p w14:paraId="75615BF6">
            <w:pPr>
              <w:rPr>
                <w:rFonts w:hint="default" w:ascii="Calibri" w:hAnsi="Calibri" w:cs="Calibri"/>
                <w:i w:val="0"/>
                <w:iCs w:val="0"/>
                <w:color w:val="000000"/>
                <w:sz w:val="24"/>
                <w:szCs w:val="24"/>
                <w:u w:val="none"/>
              </w:rPr>
            </w:pPr>
          </w:p>
        </w:tc>
      </w:tr>
      <w:tr w14:paraId="0D41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B67549">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ADF75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00C49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Marketinške i poslovne suradnje (Zadar region, Zadarski arhipelag)</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9B0B4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7.900,00 €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68A54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11.000,00 €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B2A3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11.000,00 €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6AC811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4EB13818">
            <w:pPr>
              <w:rPr>
                <w:rFonts w:hint="default" w:ascii="Calibri" w:hAnsi="Calibri" w:cs="Calibri"/>
                <w:i w:val="0"/>
                <w:iCs w:val="0"/>
                <w:color w:val="000000"/>
                <w:sz w:val="24"/>
                <w:szCs w:val="24"/>
                <w:u w:val="none"/>
              </w:rPr>
            </w:pPr>
          </w:p>
        </w:tc>
      </w:tr>
      <w:tr w14:paraId="0364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B20F2B">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EDDCC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C4BEC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Sajmovi, posebne prezentacije i poslovne radionice</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B3A60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3.276,00 €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D311A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1.100,00 €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4BDC2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1.100,00 €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4FC6AB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06809AC8">
            <w:pPr>
              <w:rPr>
                <w:rFonts w:hint="default" w:ascii="Calibri" w:hAnsi="Calibri" w:cs="Calibri"/>
                <w:i w:val="0"/>
                <w:iCs w:val="0"/>
                <w:color w:val="000000"/>
                <w:sz w:val="24"/>
                <w:szCs w:val="24"/>
                <w:u w:val="none"/>
              </w:rPr>
            </w:pPr>
          </w:p>
        </w:tc>
      </w:tr>
      <w:tr w14:paraId="1ECB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E1194">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E5EEE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1E4FB5">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Suradnja s organizatorima putovanja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66FA8">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1.341,00 €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D962E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36CFF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A0DA27D">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4083AA3">
            <w:pPr>
              <w:rPr>
                <w:rFonts w:hint="default" w:ascii="Calibri" w:hAnsi="Calibri" w:cs="Calibri"/>
                <w:i w:val="0"/>
                <w:iCs w:val="0"/>
                <w:color w:val="000000"/>
                <w:sz w:val="24"/>
                <w:szCs w:val="24"/>
                <w:u w:val="none"/>
              </w:rPr>
            </w:pPr>
          </w:p>
        </w:tc>
      </w:tr>
      <w:tr w14:paraId="4F87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56AD12">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A27BD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3.5.</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3BD67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Kreiranje promotivnog materijala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A30BF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3.983,00 €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6C98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297E4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4D8B83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43391B1">
            <w:pPr>
              <w:rPr>
                <w:rFonts w:hint="default" w:ascii="Calibri" w:hAnsi="Calibri" w:cs="Calibri"/>
                <w:i w:val="0"/>
                <w:iCs w:val="0"/>
                <w:color w:val="000000"/>
                <w:sz w:val="24"/>
                <w:szCs w:val="24"/>
                <w:u w:val="none"/>
              </w:rPr>
            </w:pPr>
          </w:p>
        </w:tc>
      </w:tr>
      <w:tr w14:paraId="2CD5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2FD3B1">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26430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3.6.</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DCFD9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Internetske stranice</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6D0F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F9D4E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39112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7504E8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4FFA5F5">
            <w:pPr>
              <w:keepNext w:val="0"/>
              <w:keepLines w:val="0"/>
              <w:widowControl/>
              <w:suppressLineNumbers w:val="0"/>
              <w:jc w:val="left"/>
              <w:textAlignment w:val="bottom"/>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dugi otok, triatlon, ATR</w:t>
            </w:r>
          </w:p>
        </w:tc>
      </w:tr>
      <w:tr w14:paraId="600F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341062">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FF471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3.7.</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DE222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Kreiranje i upravljanje bazama turističkih podataka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224DA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663,00 €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37161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663,61 €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3F3E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663,61 €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57E486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6E706FF">
            <w:pPr>
              <w:rPr>
                <w:rFonts w:hint="default" w:ascii="Calibri" w:hAnsi="Calibri" w:cs="Calibri"/>
                <w:i w:val="0"/>
                <w:iCs w:val="0"/>
                <w:color w:val="000000"/>
                <w:sz w:val="24"/>
                <w:szCs w:val="24"/>
                <w:u w:val="none"/>
              </w:rPr>
            </w:pPr>
          </w:p>
        </w:tc>
      </w:tr>
      <w:tr w14:paraId="7FE2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F4C2B">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1A937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3.8.</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426D6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Turističko-informativne aktivnosti Djelovanje sez. Ureda, Info punktovi, infor. Tabele, posjetiteljski centri)</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10FA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1B1E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7F99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901D4E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4A8ADA3">
            <w:pPr>
              <w:keepNext w:val="0"/>
              <w:keepLines w:val="0"/>
              <w:widowControl/>
              <w:suppressLineNumbers w:val="0"/>
              <w:jc w:val="left"/>
              <w:textAlignment w:val="bottom"/>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tu su plaće sezonaca</w:t>
            </w:r>
          </w:p>
        </w:tc>
      </w:tr>
      <w:tr w14:paraId="0A2E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FE3A99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40BF84D">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6C889F7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DESTINACIJSKI MENADŽMENT</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0259007">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EB726BD">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9CB0072">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F5584BC">
            <w:pP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3908F0C">
            <w:pPr>
              <w:rPr>
                <w:rFonts w:hint="default" w:ascii="Calibri" w:hAnsi="Calibri" w:cs="Calibri"/>
                <w:i w:val="0"/>
                <w:iCs w:val="0"/>
                <w:color w:val="000000"/>
                <w:sz w:val="24"/>
                <w:szCs w:val="24"/>
                <w:u w:val="none"/>
              </w:rPr>
            </w:pPr>
          </w:p>
        </w:tc>
      </w:tr>
      <w:tr w14:paraId="4792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4CB697">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05FF8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F0C464">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Turistički informacijski sustavi i aplikacije /eVisitor</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8A95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A9E62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060EF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FD6816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7D837B6C">
            <w:pPr>
              <w:rPr>
                <w:rFonts w:hint="default" w:ascii="Calibri" w:hAnsi="Calibri" w:cs="Calibri"/>
                <w:i w:val="0"/>
                <w:iCs w:val="0"/>
                <w:color w:val="000000"/>
                <w:sz w:val="24"/>
                <w:szCs w:val="24"/>
                <w:u w:val="none"/>
              </w:rPr>
            </w:pPr>
          </w:p>
        </w:tc>
      </w:tr>
      <w:tr w14:paraId="7292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6382A7">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3F5EF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99CFA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Upravljanje kvalitetom u destinaciji Zadarski arhipelag, priznanja, konkurentnost destinacije) 4750-on,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5986D8">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13.700,00 €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4384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13.272,29 €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B5F79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13.272,29 €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F79CE61">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40BBB291">
            <w:pPr>
              <w:rPr>
                <w:rFonts w:hint="default" w:ascii="Calibri" w:hAnsi="Calibri" w:cs="Calibri"/>
                <w:i w:val="0"/>
                <w:iCs w:val="0"/>
                <w:color w:val="000000"/>
                <w:sz w:val="24"/>
                <w:szCs w:val="24"/>
                <w:u w:val="none"/>
              </w:rPr>
            </w:pPr>
          </w:p>
        </w:tc>
      </w:tr>
      <w:tr w14:paraId="2073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5B9464">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C8C3A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2CCB7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Poticanje na očuvanje i uređenje okoliša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4DE3C3">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4.793,00 €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7500A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F7E40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8EC655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657AD820">
            <w:pPr>
              <w:rPr>
                <w:rFonts w:hint="default" w:ascii="Calibri" w:hAnsi="Calibri" w:cs="Calibri"/>
                <w:i w:val="0"/>
                <w:iCs w:val="0"/>
                <w:color w:val="000000"/>
                <w:sz w:val="24"/>
                <w:szCs w:val="24"/>
                <w:u w:val="none"/>
              </w:rPr>
            </w:pPr>
          </w:p>
        </w:tc>
      </w:tr>
      <w:tr w14:paraId="141A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705DF8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B8804B1">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97211A5">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ČLANSTVO U STRUKOVNIM ORGANIZACIJAMA</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12A43EE">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8737D64">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3A1F022">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D160C20">
            <w:pP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E9530E9">
            <w:pPr>
              <w:rPr>
                <w:rFonts w:hint="default" w:ascii="Calibri" w:hAnsi="Calibri" w:cs="Calibri"/>
                <w:i w:val="0"/>
                <w:iCs w:val="0"/>
                <w:color w:val="000000"/>
                <w:sz w:val="24"/>
                <w:szCs w:val="24"/>
                <w:u w:val="none"/>
              </w:rPr>
            </w:pPr>
          </w:p>
        </w:tc>
      </w:tr>
      <w:tr w14:paraId="372B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72ADEF">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4E37C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1FEC0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Međunarodne strukovne i sl. organizacije</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368A09">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C9D042">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8F6AC6">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906A7B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7F9ECFE2">
            <w:pPr>
              <w:rPr>
                <w:rFonts w:hint="default" w:ascii="Calibri" w:hAnsi="Calibri" w:cs="Calibri"/>
                <w:i w:val="0"/>
                <w:iCs w:val="0"/>
                <w:color w:val="000000"/>
                <w:sz w:val="24"/>
                <w:szCs w:val="24"/>
                <w:u w:val="none"/>
              </w:rPr>
            </w:pPr>
          </w:p>
        </w:tc>
      </w:tr>
      <w:tr w14:paraId="43CE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E77DD4">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FC27A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B98A3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Domaće strukovne i sl. organizacije</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1E2C3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133,00 €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C5FBB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E10F04">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A4EC04D">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4CA5147E">
            <w:pPr>
              <w:rPr>
                <w:rFonts w:hint="default" w:ascii="Calibri" w:hAnsi="Calibri" w:cs="Calibri"/>
                <w:i w:val="0"/>
                <w:iCs w:val="0"/>
                <w:color w:val="000000"/>
                <w:sz w:val="24"/>
                <w:szCs w:val="24"/>
                <w:u w:val="none"/>
              </w:rPr>
            </w:pPr>
          </w:p>
        </w:tc>
      </w:tr>
      <w:tr w14:paraId="7D20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8151494">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37B45A8">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6C5618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ADMINISTRATIVNI POSLOVI</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CD84FA7">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178EEA8">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64DD57E">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1DFC3C2">
            <w:pP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2FBAF92">
            <w:pPr>
              <w:rPr>
                <w:rFonts w:hint="default" w:ascii="Calibri" w:hAnsi="Calibri" w:cs="Calibri"/>
                <w:i w:val="0"/>
                <w:iCs w:val="0"/>
                <w:color w:val="000000"/>
                <w:sz w:val="24"/>
                <w:szCs w:val="24"/>
                <w:u w:val="none"/>
              </w:rPr>
            </w:pPr>
          </w:p>
        </w:tc>
      </w:tr>
      <w:tr w14:paraId="35A7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AA9763">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01B36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30235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Plaće</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BA235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49.000,00 €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01BE1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49.000,00 €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11651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49.000,00 €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E7EAA7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437BD8BC">
            <w:pPr>
              <w:rPr>
                <w:rFonts w:hint="default" w:ascii="Calibri" w:hAnsi="Calibri" w:cs="Calibri"/>
                <w:i w:val="0"/>
                <w:iCs w:val="0"/>
                <w:color w:val="000000"/>
                <w:sz w:val="24"/>
                <w:szCs w:val="24"/>
                <w:u w:val="none"/>
              </w:rPr>
            </w:pPr>
          </w:p>
        </w:tc>
      </w:tr>
      <w:tr w14:paraId="35C7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9D8FBF">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5976A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A795A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Materijalni troškovi</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36EE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8.400,00 €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C786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18.200,00 €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9D841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18.200,00 €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1C8C0A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0097FDBF">
            <w:pPr>
              <w:keepNext w:val="0"/>
              <w:keepLines w:val="0"/>
              <w:widowControl/>
              <w:suppressLineNumbers w:val="0"/>
              <w:jc w:val="left"/>
              <w:textAlignment w:val="bottom"/>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auto</w:t>
            </w:r>
          </w:p>
        </w:tc>
      </w:tr>
      <w:tr w14:paraId="00B4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3D575">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31FC5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8B27D4">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Tijela turističke zajednice</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49DBD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6FC8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960F9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0615F5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#DIV/0!</w:t>
            </w:r>
          </w:p>
        </w:tc>
        <w:tc>
          <w:tcPr>
            <w:tcW w:w="0" w:type="auto"/>
            <w:tcBorders>
              <w:top w:val="nil"/>
              <w:left w:val="nil"/>
              <w:bottom w:val="nil"/>
              <w:right w:val="nil"/>
            </w:tcBorders>
            <w:shd w:val="clear" w:color="auto" w:fill="auto"/>
            <w:noWrap/>
            <w:vAlign w:val="bottom"/>
          </w:tcPr>
          <w:p w14:paraId="66F9A786">
            <w:pPr>
              <w:rPr>
                <w:rFonts w:hint="default" w:ascii="Calibri" w:hAnsi="Calibri" w:cs="Calibri"/>
                <w:i w:val="0"/>
                <w:iCs w:val="0"/>
                <w:color w:val="000000"/>
                <w:sz w:val="24"/>
                <w:szCs w:val="24"/>
                <w:u w:val="none"/>
              </w:rPr>
            </w:pPr>
          </w:p>
        </w:tc>
      </w:tr>
      <w:tr w14:paraId="6C67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85225">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D4AF3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F07C0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Troškovi poslovanja mreže predstavništava/ ispostava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20721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41EA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0F46D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A32CB1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#DIV/0!</w:t>
            </w:r>
          </w:p>
        </w:tc>
        <w:tc>
          <w:tcPr>
            <w:tcW w:w="0" w:type="auto"/>
            <w:tcBorders>
              <w:top w:val="nil"/>
              <w:left w:val="nil"/>
              <w:bottom w:val="nil"/>
              <w:right w:val="nil"/>
            </w:tcBorders>
            <w:shd w:val="clear" w:color="auto" w:fill="auto"/>
            <w:noWrap/>
            <w:vAlign w:val="bottom"/>
          </w:tcPr>
          <w:p w14:paraId="21D30ED5">
            <w:pPr>
              <w:rPr>
                <w:rFonts w:hint="default" w:ascii="Calibri" w:hAnsi="Calibri" w:cs="Calibri"/>
                <w:i w:val="0"/>
                <w:iCs w:val="0"/>
                <w:color w:val="000000"/>
                <w:sz w:val="24"/>
                <w:szCs w:val="24"/>
                <w:u w:val="none"/>
              </w:rPr>
            </w:pPr>
          </w:p>
        </w:tc>
      </w:tr>
      <w:tr w14:paraId="5E9C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B514864">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7.</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0103137">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88C977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REZERVA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2827C1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14.330,00 €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66C3D1E">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14.334,06 €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55AF6C8">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14.334,06 €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328261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6B61E0C0">
            <w:pPr>
              <w:rPr>
                <w:rFonts w:hint="default" w:ascii="Calibri" w:hAnsi="Calibri" w:cs="Calibri"/>
                <w:i w:val="0"/>
                <w:iCs w:val="0"/>
                <w:color w:val="000000"/>
                <w:sz w:val="24"/>
                <w:szCs w:val="24"/>
                <w:u w:val="none"/>
              </w:rPr>
            </w:pPr>
          </w:p>
        </w:tc>
      </w:tr>
      <w:tr w14:paraId="0EAB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D1ADEF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B5DFBF1">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68834C4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POKRIVANJE MANJKA PRIHODA IZ PRETHODNE GODINE</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7F0010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14E339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1509F64">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E35016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#DIV/0!</w:t>
            </w:r>
          </w:p>
        </w:tc>
        <w:tc>
          <w:tcPr>
            <w:tcW w:w="0" w:type="auto"/>
            <w:tcBorders>
              <w:top w:val="nil"/>
              <w:left w:val="nil"/>
              <w:bottom w:val="nil"/>
              <w:right w:val="nil"/>
            </w:tcBorders>
            <w:shd w:val="clear" w:color="auto" w:fill="auto"/>
            <w:noWrap/>
            <w:vAlign w:val="bottom"/>
          </w:tcPr>
          <w:p w14:paraId="767D6257">
            <w:pPr>
              <w:rPr>
                <w:rFonts w:hint="default" w:ascii="Calibri" w:hAnsi="Calibri" w:cs="Calibri"/>
                <w:i w:val="0"/>
                <w:iCs w:val="0"/>
                <w:color w:val="000000"/>
                <w:sz w:val="24"/>
                <w:szCs w:val="24"/>
                <w:u w:val="none"/>
              </w:rPr>
            </w:pPr>
          </w:p>
        </w:tc>
      </w:tr>
      <w:tr w14:paraId="36A1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5" w:type="dxa"/>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4AB7388E">
            <w:pPr>
              <w:rPr>
                <w:rFonts w:hint="default" w:ascii="Calibri" w:hAnsi="Calibri" w:cs="Calibri"/>
                <w:b/>
                <w:bCs/>
                <w:i w:val="0"/>
                <w:iCs w:val="0"/>
                <w:color w:val="FFFFFF"/>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343D72A3">
            <w:pPr>
              <w:keepNext w:val="0"/>
              <w:keepLines w:val="0"/>
              <w:widowControl/>
              <w:suppressLineNumbers w:val="0"/>
              <w:jc w:val="lef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SVEUKUPNO 1</w:t>
            </w: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1A1A25D1">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262.611,00 €</w:t>
            </w: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7F7917A4">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295.285,72 €</w:t>
            </w: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1192FD53">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295.285,72 €</w:t>
            </w:r>
          </w:p>
        </w:tc>
        <w:tc>
          <w:tcPr>
            <w:tcW w:w="0" w:type="auto"/>
            <w:tcBorders>
              <w:top w:val="single" w:color="000000" w:sz="2" w:space="0"/>
              <w:left w:val="single" w:color="000000" w:sz="2" w:space="0"/>
              <w:bottom w:val="single" w:color="000000" w:sz="2" w:space="0"/>
              <w:right w:val="single" w:color="000000" w:sz="2" w:space="0"/>
            </w:tcBorders>
            <w:shd w:val="clear" w:color="auto" w:fill="203764"/>
            <w:noWrap/>
            <w:vAlign w:val="center"/>
          </w:tcPr>
          <w:p w14:paraId="057B5434">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3FAFE1F">
            <w:pPr>
              <w:rPr>
                <w:rFonts w:hint="default" w:ascii="Calibri" w:hAnsi="Calibri" w:cs="Calibri"/>
                <w:i w:val="0"/>
                <w:iCs w:val="0"/>
                <w:color w:val="000000"/>
                <w:sz w:val="24"/>
                <w:szCs w:val="24"/>
                <w:u w:val="none"/>
              </w:rPr>
            </w:pPr>
          </w:p>
        </w:tc>
      </w:tr>
      <w:tr w14:paraId="2D65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30CD7CB">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F812ED3">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E5BA21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PRIJENOS PRIHODA</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9F0459E">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790D61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D9FBEA3">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hr-HR" w:eastAsia="zh-CN" w:bidi="ar"/>
              </w:rPr>
              <w:t>16.674,49</w:t>
            </w:r>
            <w:r>
              <w:rPr>
                <w:rFonts w:hint="default" w:ascii="Calibri" w:hAnsi="Calibri" w:eastAsia="SimSun" w:cs="Calibri"/>
                <w:i w:val="0"/>
                <w:iCs w:val="0"/>
                <w:color w:val="000000"/>
                <w:kern w:val="0"/>
                <w:sz w:val="24"/>
                <w:szCs w:val="24"/>
                <w:u w:val="none"/>
                <w:lang w:val="en-US" w:eastAsia="zh-CN" w:bidi="ar"/>
              </w:rPr>
              <w:t xml:space="preserve">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DBE82A9">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B8A88D3">
            <w:pPr>
              <w:rPr>
                <w:rFonts w:hint="default" w:ascii="Calibri" w:hAnsi="Calibri" w:cs="Calibri"/>
                <w:i w:val="0"/>
                <w:iCs w:val="0"/>
                <w:color w:val="000000"/>
                <w:sz w:val="24"/>
                <w:szCs w:val="24"/>
                <w:u w:val="none"/>
              </w:rPr>
            </w:pPr>
          </w:p>
        </w:tc>
      </w:tr>
      <w:tr w14:paraId="0898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2D7375">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D2C725">
            <w:pPr>
              <w:rPr>
                <w:rFonts w:hint="default" w:ascii="Calibri" w:hAnsi="Calibri" w:cs="Calibri"/>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CB7F1F">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AE4D5">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EB29B">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246E9">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A3B7C5">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8D83A1E">
            <w:pPr>
              <w:rPr>
                <w:rFonts w:hint="default" w:ascii="Calibri" w:hAnsi="Calibri" w:cs="Calibri"/>
                <w:i w:val="0"/>
                <w:iCs w:val="0"/>
                <w:color w:val="000000"/>
                <w:sz w:val="24"/>
                <w:szCs w:val="24"/>
                <w:u w:val="none"/>
              </w:rPr>
            </w:pPr>
          </w:p>
        </w:tc>
      </w:tr>
      <w:tr w14:paraId="1371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4F72009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9.</w:t>
            </w:r>
          </w:p>
        </w:tc>
        <w:tc>
          <w:tcPr>
            <w:tcW w:w="780"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29907687">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14F9BF1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FONDOVI - posebne namjene</w:t>
            </w: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276F5E88">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5559A3DE">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091F7799">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5456D169">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D7BFCA1">
            <w:pPr>
              <w:rPr>
                <w:rFonts w:hint="default" w:ascii="Calibri" w:hAnsi="Calibri" w:cs="Calibri"/>
                <w:i w:val="0"/>
                <w:iCs w:val="0"/>
                <w:color w:val="000000"/>
                <w:sz w:val="24"/>
                <w:szCs w:val="24"/>
                <w:u w:val="none"/>
              </w:rPr>
            </w:pPr>
          </w:p>
        </w:tc>
      </w:tr>
      <w:tr w14:paraId="60B7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F970DD">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E9A1B0">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0B3EE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 za turističke zajednice na  turistički nedovoljno razvijenim područjima i kontinentu</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D72600">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BCDD45">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0FD05">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C5B4B6">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452297C">
            <w:pPr>
              <w:rPr>
                <w:rFonts w:hint="default" w:ascii="Calibri" w:hAnsi="Calibri" w:cs="Calibri"/>
                <w:i w:val="0"/>
                <w:iCs w:val="0"/>
                <w:color w:val="000000"/>
                <w:sz w:val="24"/>
                <w:szCs w:val="24"/>
                <w:u w:val="none"/>
              </w:rPr>
            </w:pPr>
          </w:p>
        </w:tc>
      </w:tr>
      <w:tr w14:paraId="3DF8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26DFAB">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962DEF">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6895E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 za projekte udruženih turističkih zajednica</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68BF4">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140916">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58F881">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F5E54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4F9D289">
            <w:pPr>
              <w:rPr>
                <w:rFonts w:hint="default" w:ascii="Calibri" w:hAnsi="Calibri" w:cs="Calibri"/>
                <w:i w:val="0"/>
                <w:iCs w:val="0"/>
                <w:color w:val="000000"/>
                <w:sz w:val="24"/>
                <w:szCs w:val="24"/>
                <w:u w:val="none"/>
              </w:rPr>
            </w:pPr>
          </w:p>
        </w:tc>
      </w:tr>
      <w:tr w14:paraId="5517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6A4959B7">
            <w:pPr>
              <w:rPr>
                <w:rFonts w:hint="default" w:ascii="Calibri" w:hAnsi="Calibri" w:cs="Calibri"/>
                <w:b/>
                <w:bCs/>
                <w:i w:val="0"/>
                <w:iCs w:val="0"/>
                <w:color w:val="FFFFFF"/>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38B23A03">
            <w:pPr>
              <w:rPr>
                <w:rFonts w:hint="default" w:ascii="Calibri" w:hAnsi="Calibri" w:cs="Calibri"/>
                <w:b/>
                <w:bCs/>
                <w:i w:val="0"/>
                <w:iCs w:val="0"/>
                <w:color w:val="FFFFFF"/>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48C564D3">
            <w:pPr>
              <w:keepNext w:val="0"/>
              <w:keepLines w:val="0"/>
              <w:widowControl/>
              <w:suppressLineNumbers w:val="0"/>
              <w:jc w:val="lef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SVEUKUPNO 2</w:t>
            </w: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47B064B2">
            <w:pPr>
              <w:rPr>
                <w:rFonts w:hint="default" w:ascii="Calibri" w:hAnsi="Calibri" w:cs="Calibri"/>
                <w:i w:val="0"/>
                <w:iCs w:val="0"/>
                <w:color w:val="FFFFFF"/>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3F468CDE">
            <w:pPr>
              <w:rPr>
                <w:rFonts w:hint="default" w:ascii="Calibri" w:hAnsi="Calibri" w:cs="Calibri"/>
                <w:i w:val="0"/>
                <w:iCs w:val="0"/>
                <w:color w:val="FFFFFF"/>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1D5B51C5">
            <w:pPr>
              <w:rPr>
                <w:rFonts w:hint="default" w:ascii="Calibri" w:hAnsi="Calibri" w:cs="Calibri"/>
                <w:i w:val="0"/>
                <w:iCs w:val="0"/>
                <w:color w:val="FFFFFF"/>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42D25182">
            <w:pPr>
              <w:rPr>
                <w:rFonts w:hint="default" w:ascii="Calibri" w:hAnsi="Calibri" w:cs="Calibri"/>
                <w:i w:val="0"/>
                <w:iCs w:val="0"/>
                <w:color w:val="FFFFFF"/>
                <w:sz w:val="24"/>
                <w:szCs w:val="24"/>
                <w:u w:val="none"/>
              </w:rPr>
            </w:pPr>
          </w:p>
        </w:tc>
        <w:tc>
          <w:tcPr>
            <w:tcW w:w="0" w:type="auto"/>
            <w:tcBorders>
              <w:top w:val="nil"/>
              <w:left w:val="nil"/>
              <w:bottom w:val="nil"/>
              <w:right w:val="nil"/>
            </w:tcBorders>
            <w:shd w:val="clear" w:color="auto" w:fill="auto"/>
            <w:noWrap/>
            <w:vAlign w:val="bottom"/>
          </w:tcPr>
          <w:p w14:paraId="111FA3F5">
            <w:pPr>
              <w:rPr>
                <w:rFonts w:hint="default" w:ascii="Calibri" w:hAnsi="Calibri" w:cs="Calibri"/>
                <w:i w:val="0"/>
                <w:iCs w:val="0"/>
                <w:color w:val="000000"/>
                <w:sz w:val="24"/>
                <w:szCs w:val="24"/>
                <w:u w:val="none"/>
              </w:rPr>
            </w:pPr>
          </w:p>
        </w:tc>
      </w:tr>
      <w:tr w14:paraId="6336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9E67D">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677F4D">
            <w:pPr>
              <w:rPr>
                <w:rFonts w:hint="default" w:ascii="Calibri" w:hAnsi="Calibri" w:cs="Calibri"/>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CCCD1C">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8E166B">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9A31F">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49FCC9">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3111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F0FCFE2">
            <w:pPr>
              <w:rPr>
                <w:rFonts w:hint="default" w:ascii="Calibri" w:hAnsi="Calibri" w:cs="Calibri"/>
                <w:i w:val="0"/>
                <w:iCs w:val="0"/>
                <w:color w:val="000000"/>
                <w:sz w:val="24"/>
                <w:szCs w:val="24"/>
                <w:u w:val="none"/>
              </w:rPr>
            </w:pPr>
          </w:p>
        </w:tc>
      </w:tr>
      <w:tr w14:paraId="7CC2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55" w:type="dxa"/>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46B4B211">
            <w:pPr>
              <w:keepNext w:val="0"/>
              <w:keepLines w:val="0"/>
              <w:widowControl/>
              <w:suppressLineNumbers w:val="0"/>
              <w:jc w:val="center"/>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TOTAL</w:t>
            </w:r>
          </w:p>
        </w:tc>
        <w:tc>
          <w:tcPr>
            <w:tcW w:w="6180"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60EFCD10">
            <w:pPr>
              <w:keepNext w:val="0"/>
              <w:keepLines w:val="0"/>
              <w:widowControl/>
              <w:suppressLineNumbers w:val="0"/>
              <w:jc w:val="lef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SVEUKUPNO 1+ SVEUKUPNO 2</w:t>
            </w: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726E1A46">
            <w:pPr>
              <w:keepNext w:val="0"/>
              <w:keepLines w:val="0"/>
              <w:widowControl/>
              <w:suppressLineNumbers w:val="0"/>
              <w:jc w:val="right"/>
              <w:textAlignment w:val="center"/>
              <w:rPr>
                <w:rFonts w:hint="default" w:ascii="Calibri" w:hAnsi="Calibri" w:cs="Calibri"/>
                <w:i w:val="0"/>
                <w:iCs w:val="0"/>
                <w:color w:val="FFFFFF"/>
                <w:u w:val="none"/>
              </w:rPr>
            </w:pPr>
            <w:r>
              <w:rPr>
                <w:rFonts w:hint="default" w:ascii="Calibri" w:hAnsi="Calibri" w:eastAsia="SimSun" w:cs="Calibri"/>
                <w:i w:val="0"/>
                <w:iCs w:val="0"/>
                <w:color w:val="FFFFFF"/>
                <w:kern w:val="0"/>
                <w:sz w:val="24"/>
                <w:szCs w:val="24"/>
                <w:u w:val="none"/>
                <w:lang w:val="en-US" w:eastAsia="zh-CN" w:bidi="ar"/>
              </w:rPr>
              <w:t>262.611,00 €</w:t>
            </w: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53B32F40">
            <w:pPr>
              <w:keepNext w:val="0"/>
              <w:keepLines w:val="0"/>
              <w:widowControl/>
              <w:suppressLineNumbers w:val="0"/>
              <w:jc w:val="right"/>
              <w:textAlignment w:val="center"/>
              <w:rPr>
                <w:rFonts w:hint="default" w:ascii="Calibri" w:hAnsi="Calibri" w:cs="Calibri"/>
                <w:i w:val="0"/>
                <w:iCs w:val="0"/>
                <w:color w:val="FFFFFF"/>
                <w:u w:val="none"/>
              </w:rPr>
            </w:pPr>
            <w:r>
              <w:rPr>
                <w:rFonts w:hint="default" w:ascii="Calibri" w:hAnsi="Calibri" w:eastAsia="SimSun" w:cs="Calibri"/>
                <w:i w:val="0"/>
                <w:iCs w:val="0"/>
                <w:color w:val="FFFFFF"/>
                <w:kern w:val="0"/>
                <w:sz w:val="24"/>
                <w:szCs w:val="24"/>
                <w:u w:val="none"/>
                <w:lang w:val="en-US" w:eastAsia="zh-CN" w:bidi="ar"/>
              </w:rPr>
              <w:t>295.285,72 €</w:t>
            </w: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7CE11698">
            <w:pPr>
              <w:keepNext w:val="0"/>
              <w:keepLines w:val="0"/>
              <w:widowControl/>
              <w:suppressLineNumbers w:val="0"/>
              <w:jc w:val="right"/>
              <w:textAlignment w:val="center"/>
              <w:rPr>
                <w:rFonts w:hint="default" w:ascii="Calibri" w:hAnsi="Calibri" w:cs="Calibri"/>
                <w:i w:val="0"/>
                <w:iCs w:val="0"/>
                <w:color w:val="FFFFFF"/>
                <w:u w:val="none"/>
              </w:rPr>
            </w:pPr>
            <w:r>
              <w:rPr>
                <w:rFonts w:hint="default" w:ascii="Calibri" w:hAnsi="Calibri" w:eastAsia="SimSun" w:cs="Calibri"/>
                <w:i w:val="0"/>
                <w:iCs w:val="0"/>
                <w:color w:val="FFFFFF"/>
                <w:kern w:val="0"/>
                <w:sz w:val="24"/>
                <w:szCs w:val="24"/>
                <w:u w:val="none"/>
                <w:lang w:val="en-US" w:eastAsia="zh-CN" w:bidi="ar"/>
              </w:rPr>
              <w:t>295.285,72 €</w:t>
            </w: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65BCB7B9">
            <w:pPr>
              <w:rPr>
                <w:rFonts w:hint="default" w:ascii="Calibri" w:hAnsi="Calibri" w:cs="Calibri"/>
                <w:i w:val="0"/>
                <w:iCs w:val="0"/>
                <w:color w:val="FFFFFF"/>
                <w:sz w:val="24"/>
                <w:szCs w:val="24"/>
                <w:u w:val="none"/>
              </w:rPr>
            </w:pPr>
          </w:p>
        </w:tc>
        <w:tc>
          <w:tcPr>
            <w:tcW w:w="0" w:type="auto"/>
            <w:tcBorders>
              <w:top w:val="nil"/>
              <w:left w:val="nil"/>
              <w:bottom w:val="nil"/>
              <w:right w:val="nil"/>
            </w:tcBorders>
            <w:shd w:val="clear" w:color="auto" w:fill="auto"/>
            <w:noWrap/>
            <w:vAlign w:val="bottom"/>
          </w:tcPr>
          <w:p w14:paraId="148303BC">
            <w:pPr>
              <w:rPr>
                <w:rFonts w:hint="default" w:ascii="Calibri" w:hAnsi="Calibri" w:cs="Calibri"/>
                <w:i w:val="0"/>
                <w:iCs w:val="0"/>
                <w:color w:val="000000"/>
                <w:sz w:val="24"/>
                <w:szCs w:val="24"/>
                <w:u w:val="none"/>
              </w:rPr>
            </w:pPr>
          </w:p>
        </w:tc>
      </w:tr>
    </w:tbl>
    <w:p w14:paraId="57FAF7D2">
      <w:pPr>
        <w:spacing w:before="9"/>
        <w:rPr>
          <w:b/>
          <w:color w:val="000000" w:themeColor="text1"/>
          <w14:textFill>
            <w14:solidFill>
              <w14:schemeClr w14:val="tx1"/>
            </w14:solidFill>
          </w14:textFill>
        </w:rPr>
      </w:pPr>
    </w:p>
    <w:sectPr>
      <w:footerReference r:id="rId5" w:type="default"/>
      <w:pgSz w:w="16840" w:h="11910" w:orient="landscape"/>
      <w:pgMar w:top="1100" w:right="2360" w:bottom="280" w:left="9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Lucida Handwriting">
    <w:panose1 w:val="03010101010101010101"/>
    <w:charset w:val="00"/>
    <w:family w:val="script"/>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7658302"/>
      <w:docPartObj>
        <w:docPartGallery w:val="autotext"/>
      </w:docPartObj>
    </w:sdtPr>
    <w:sdtContent>
      <w:p w14:paraId="10D9AEAE">
        <w:pPr>
          <w:pStyle w:val="9"/>
          <w:jc w:val="center"/>
        </w:pPr>
        <w:r>
          <w:fldChar w:fldCharType="begin"/>
        </w:r>
        <w:r>
          <w:instrText xml:space="preserve">PAGE   \* MERGEFORMAT</w:instrText>
        </w:r>
        <w:r>
          <w:fldChar w:fldCharType="separate"/>
        </w:r>
        <w:r>
          <w:t>21</w:t>
        </w:r>
        <w:r>
          <w:fldChar w:fldCharType="end"/>
        </w:r>
      </w:p>
    </w:sdtContent>
  </w:sdt>
  <w:p w14:paraId="7CAEEF8B">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5E81"/>
    <w:multiLevelType w:val="multilevel"/>
    <w:tmpl w:val="05495E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73094"/>
    <w:multiLevelType w:val="multilevel"/>
    <w:tmpl w:val="08473094"/>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6B5D70"/>
    <w:multiLevelType w:val="multilevel"/>
    <w:tmpl w:val="0A6B5D70"/>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AD6012"/>
    <w:multiLevelType w:val="multilevel"/>
    <w:tmpl w:val="10AD6012"/>
    <w:lvl w:ilvl="0" w:tentative="0">
      <w:start w:val="1"/>
      <w:numFmt w:val="upperRoman"/>
      <w:lvlText w:val="%1."/>
      <w:lvlJc w:val="right"/>
      <w:pPr>
        <w:ind w:left="780" w:hanging="420"/>
      </w:pPr>
      <w:rPr>
        <w:rFonts w:hint="default"/>
      </w:rPr>
    </w:lvl>
    <w:lvl w:ilvl="1" w:tentative="0">
      <w:start w:val="4"/>
      <w:numFmt w:val="decimal"/>
      <w:isLgl/>
      <w:lvlText w:val="%1.%2."/>
      <w:lvlJc w:val="left"/>
      <w:pPr>
        <w:ind w:left="780" w:hanging="4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45D427E2"/>
    <w:multiLevelType w:val="multilevel"/>
    <w:tmpl w:val="45D427E2"/>
    <w:lvl w:ilvl="0" w:tentative="0">
      <w:start w:val="2008"/>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5BA0D46"/>
    <w:multiLevelType w:val="multilevel"/>
    <w:tmpl w:val="55BA0D46"/>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6">
    <w:nsid w:val="67F200E5"/>
    <w:multiLevelType w:val="multilevel"/>
    <w:tmpl w:val="67F200E5"/>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num w:numId="1">
    <w:abstractNumId w:val="3"/>
  </w:num>
  <w:num w:numId="2">
    <w:abstractNumId w:val="1"/>
  </w:num>
  <w:num w:numId="3">
    <w:abstractNumId w:val="2"/>
  </w:num>
  <w:num w:numId="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9A"/>
    <w:rsid w:val="000003A2"/>
    <w:rsid w:val="00001665"/>
    <w:rsid w:val="00005728"/>
    <w:rsid w:val="00020403"/>
    <w:rsid w:val="000311A5"/>
    <w:rsid w:val="00037591"/>
    <w:rsid w:val="00040B18"/>
    <w:rsid w:val="000437A9"/>
    <w:rsid w:val="00044F4A"/>
    <w:rsid w:val="000551E6"/>
    <w:rsid w:val="00060895"/>
    <w:rsid w:val="00074029"/>
    <w:rsid w:val="00076185"/>
    <w:rsid w:val="000773CB"/>
    <w:rsid w:val="00077A91"/>
    <w:rsid w:val="000811B2"/>
    <w:rsid w:val="00082559"/>
    <w:rsid w:val="00084110"/>
    <w:rsid w:val="000925CE"/>
    <w:rsid w:val="000A2D9C"/>
    <w:rsid w:val="000A7F0B"/>
    <w:rsid w:val="000C1FD6"/>
    <w:rsid w:val="000C237B"/>
    <w:rsid w:val="000C339F"/>
    <w:rsid w:val="000C40DC"/>
    <w:rsid w:val="000C5292"/>
    <w:rsid w:val="000C6479"/>
    <w:rsid w:val="000D4042"/>
    <w:rsid w:val="000F789A"/>
    <w:rsid w:val="00104CF9"/>
    <w:rsid w:val="001101C8"/>
    <w:rsid w:val="001122FD"/>
    <w:rsid w:val="001148FF"/>
    <w:rsid w:val="00115B69"/>
    <w:rsid w:val="0012493E"/>
    <w:rsid w:val="00125233"/>
    <w:rsid w:val="0012764C"/>
    <w:rsid w:val="001306C0"/>
    <w:rsid w:val="00141CED"/>
    <w:rsid w:val="00143A0F"/>
    <w:rsid w:val="00144FDD"/>
    <w:rsid w:val="00145E43"/>
    <w:rsid w:val="0015335F"/>
    <w:rsid w:val="00154C44"/>
    <w:rsid w:val="00157072"/>
    <w:rsid w:val="001606F4"/>
    <w:rsid w:val="00171C5F"/>
    <w:rsid w:val="001857A3"/>
    <w:rsid w:val="0018637F"/>
    <w:rsid w:val="00190720"/>
    <w:rsid w:val="00197E6F"/>
    <w:rsid w:val="001A5378"/>
    <w:rsid w:val="001B1182"/>
    <w:rsid w:val="001B4216"/>
    <w:rsid w:val="001B5C16"/>
    <w:rsid w:val="001B7A87"/>
    <w:rsid w:val="001C3ACA"/>
    <w:rsid w:val="001D15BC"/>
    <w:rsid w:val="001D475E"/>
    <w:rsid w:val="001D571E"/>
    <w:rsid w:val="001E3BF3"/>
    <w:rsid w:val="001E5481"/>
    <w:rsid w:val="00212381"/>
    <w:rsid w:val="002133F0"/>
    <w:rsid w:val="002143DF"/>
    <w:rsid w:val="00216CF8"/>
    <w:rsid w:val="00221CA9"/>
    <w:rsid w:val="002262D8"/>
    <w:rsid w:val="00227091"/>
    <w:rsid w:val="00227D7A"/>
    <w:rsid w:val="00235EF2"/>
    <w:rsid w:val="00247854"/>
    <w:rsid w:val="002507D9"/>
    <w:rsid w:val="00250D1A"/>
    <w:rsid w:val="00251C5E"/>
    <w:rsid w:val="00252C91"/>
    <w:rsid w:val="00260175"/>
    <w:rsid w:val="00261E99"/>
    <w:rsid w:val="002630A2"/>
    <w:rsid w:val="002640AB"/>
    <w:rsid w:val="0026642A"/>
    <w:rsid w:val="00270568"/>
    <w:rsid w:val="002725D4"/>
    <w:rsid w:val="00273C38"/>
    <w:rsid w:val="00277A8E"/>
    <w:rsid w:val="00277E7E"/>
    <w:rsid w:val="00290B12"/>
    <w:rsid w:val="00294DDA"/>
    <w:rsid w:val="002951DF"/>
    <w:rsid w:val="002A5695"/>
    <w:rsid w:val="002A67EF"/>
    <w:rsid w:val="002A6BCA"/>
    <w:rsid w:val="002A6E0F"/>
    <w:rsid w:val="002B07ED"/>
    <w:rsid w:val="002B46BF"/>
    <w:rsid w:val="002B6E76"/>
    <w:rsid w:val="002B73FD"/>
    <w:rsid w:val="002C7F34"/>
    <w:rsid w:val="002D0BED"/>
    <w:rsid w:val="002D1E8D"/>
    <w:rsid w:val="002D40D4"/>
    <w:rsid w:val="002D4189"/>
    <w:rsid w:val="002D6E52"/>
    <w:rsid w:val="002D7CCD"/>
    <w:rsid w:val="002E6139"/>
    <w:rsid w:val="002E7BCF"/>
    <w:rsid w:val="00306793"/>
    <w:rsid w:val="003163A8"/>
    <w:rsid w:val="003247F1"/>
    <w:rsid w:val="00326603"/>
    <w:rsid w:val="00326852"/>
    <w:rsid w:val="00334E9A"/>
    <w:rsid w:val="003363D7"/>
    <w:rsid w:val="003400FF"/>
    <w:rsid w:val="003469C5"/>
    <w:rsid w:val="0035074A"/>
    <w:rsid w:val="00361A53"/>
    <w:rsid w:val="00381241"/>
    <w:rsid w:val="00384483"/>
    <w:rsid w:val="003920E9"/>
    <w:rsid w:val="003A2B23"/>
    <w:rsid w:val="003A62E6"/>
    <w:rsid w:val="003A6F71"/>
    <w:rsid w:val="003B1BF0"/>
    <w:rsid w:val="003B3579"/>
    <w:rsid w:val="003B5DD5"/>
    <w:rsid w:val="003C45EA"/>
    <w:rsid w:val="003D0D11"/>
    <w:rsid w:val="003D23A0"/>
    <w:rsid w:val="003D7A36"/>
    <w:rsid w:val="003E3D0B"/>
    <w:rsid w:val="003F07DA"/>
    <w:rsid w:val="003F0F8E"/>
    <w:rsid w:val="003F4E5E"/>
    <w:rsid w:val="003F7D7F"/>
    <w:rsid w:val="00400B46"/>
    <w:rsid w:val="00400E7B"/>
    <w:rsid w:val="0040315E"/>
    <w:rsid w:val="0041712E"/>
    <w:rsid w:val="00422A01"/>
    <w:rsid w:val="004303B2"/>
    <w:rsid w:val="004338C7"/>
    <w:rsid w:val="004401B8"/>
    <w:rsid w:val="00446A12"/>
    <w:rsid w:val="004502C3"/>
    <w:rsid w:val="00450441"/>
    <w:rsid w:val="00463183"/>
    <w:rsid w:val="0046406F"/>
    <w:rsid w:val="00480078"/>
    <w:rsid w:val="00491461"/>
    <w:rsid w:val="00492DE5"/>
    <w:rsid w:val="004A0166"/>
    <w:rsid w:val="004A2D8E"/>
    <w:rsid w:val="004A57BA"/>
    <w:rsid w:val="004B19C7"/>
    <w:rsid w:val="004B6DEC"/>
    <w:rsid w:val="004C2461"/>
    <w:rsid w:val="004C4DA9"/>
    <w:rsid w:val="004C70C3"/>
    <w:rsid w:val="004D52BD"/>
    <w:rsid w:val="004D7E97"/>
    <w:rsid w:val="004E5830"/>
    <w:rsid w:val="004F110C"/>
    <w:rsid w:val="004F504B"/>
    <w:rsid w:val="004F5E54"/>
    <w:rsid w:val="004F7797"/>
    <w:rsid w:val="0050452D"/>
    <w:rsid w:val="0052448E"/>
    <w:rsid w:val="00531365"/>
    <w:rsid w:val="00550564"/>
    <w:rsid w:val="005535DC"/>
    <w:rsid w:val="00554C61"/>
    <w:rsid w:val="00556121"/>
    <w:rsid w:val="00556AAB"/>
    <w:rsid w:val="005621EB"/>
    <w:rsid w:val="00562298"/>
    <w:rsid w:val="00562E86"/>
    <w:rsid w:val="005676D0"/>
    <w:rsid w:val="005733FF"/>
    <w:rsid w:val="00575B98"/>
    <w:rsid w:val="005824A7"/>
    <w:rsid w:val="00586CA8"/>
    <w:rsid w:val="00591094"/>
    <w:rsid w:val="00592571"/>
    <w:rsid w:val="005A4CEC"/>
    <w:rsid w:val="005A63DB"/>
    <w:rsid w:val="005B5508"/>
    <w:rsid w:val="005C038C"/>
    <w:rsid w:val="005D4D69"/>
    <w:rsid w:val="005D4EF5"/>
    <w:rsid w:val="005D6035"/>
    <w:rsid w:val="005D6E5D"/>
    <w:rsid w:val="005E5956"/>
    <w:rsid w:val="005F539F"/>
    <w:rsid w:val="0060154F"/>
    <w:rsid w:val="006175EE"/>
    <w:rsid w:val="00624C24"/>
    <w:rsid w:val="006301B1"/>
    <w:rsid w:val="00634030"/>
    <w:rsid w:val="006446A1"/>
    <w:rsid w:val="006462E0"/>
    <w:rsid w:val="006535A6"/>
    <w:rsid w:val="00656681"/>
    <w:rsid w:val="00661237"/>
    <w:rsid w:val="006624FF"/>
    <w:rsid w:val="00666DCA"/>
    <w:rsid w:val="00670C54"/>
    <w:rsid w:val="0067356D"/>
    <w:rsid w:val="0067696A"/>
    <w:rsid w:val="00683B0C"/>
    <w:rsid w:val="00684229"/>
    <w:rsid w:val="00695249"/>
    <w:rsid w:val="00696034"/>
    <w:rsid w:val="006A1EC5"/>
    <w:rsid w:val="006B393B"/>
    <w:rsid w:val="006E09C2"/>
    <w:rsid w:val="006E136F"/>
    <w:rsid w:val="006F113D"/>
    <w:rsid w:val="006F3593"/>
    <w:rsid w:val="0070139D"/>
    <w:rsid w:val="00722C11"/>
    <w:rsid w:val="00724011"/>
    <w:rsid w:val="00724738"/>
    <w:rsid w:val="00724A2D"/>
    <w:rsid w:val="007314E6"/>
    <w:rsid w:val="00736FDF"/>
    <w:rsid w:val="007421FE"/>
    <w:rsid w:val="00743389"/>
    <w:rsid w:val="00770357"/>
    <w:rsid w:val="00770AE5"/>
    <w:rsid w:val="00775277"/>
    <w:rsid w:val="00780BC8"/>
    <w:rsid w:val="007A018D"/>
    <w:rsid w:val="007A0D16"/>
    <w:rsid w:val="007B52A9"/>
    <w:rsid w:val="007B6051"/>
    <w:rsid w:val="007C47F2"/>
    <w:rsid w:val="007D2AA2"/>
    <w:rsid w:val="007D4B05"/>
    <w:rsid w:val="007E0C1E"/>
    <w:rsid w:val="007E191F"/>
    <w:rsid w:val="007F796B"/>
    <w:rsid w:val="008022F5"/>
    <w:rsid w:val="008115B8"/>
    <w:rsid w:val="00814B5F"/>
    <w:rsid w:val="00816B44"/>
    <w:rsid w:val="00817A0D"/>
    <w:rsid w:val="008528DC"/>
    <w:rsid w:val="00853729"/>
    <w:rsid w:val="00853DA0"/>
    <w:rsid w:val="00857F7D"/>
    <w:rsid w:val="00864736"/>
    <w:rsid w:val="00864DC3"/>
    <w:rsid w:val="00873EF4"/>
    <w:rsid w:val="008741D4"/>
    <w:rsid w:val="00874FF2"/>
    <w:rsid w:val="00875DC4"/>
    <w:rsid w:val="0088160A"/>
    <w:rsid w:val="00881821"/>
    <w:rsid w:val="00881957"/>
    <w:rsid w:val="00885C4D"/>
    <w:rsid w:val="008A20D6"/>
    <w:rsid w:val="008A26B7"/>
    <w:rsid w:val="008A2E70"/>
    <w:rsid w:val="008A406F"/>
    <w:rsid w:val="008B1642"/>
    <w:rsid w:val="008C3BA5"/>
    <w:rsid w:val="008D0CFF"/>
    <w:rsid w:val="008D19B8"/>
    <w:rsid w:val="008D3902"/>
    <w:rsid w:val="008E3366"/>
    <w:rsid w:val="008F47C1"/>
    <w:rsid w:val="00904487"/>
    <w:rsid w:val="00913013"/>
    <w:rsid w:val="009264F4"/>
    <w:rsid w:val="009303A0"/>
    <w:rsid w:val="00931A92"/>
    <w:rsid w:val="00950D00"/>
    <w:rsid w:val="00981443"/>
    <w:rsid w:val="009823F6"/>
    <w:rsid w:val="0099199F"/>
    <w:rsid w:val="009A0657"/>
    <w:rsid w:val="009A2E28"/>
    <w:rsid w:val="009B0A87"/>
    <w:rsid w:val="009B25DB"/>
    <w:rsid w:val="009B4B4A"/>
    <w:rsid w:val="009C2093"/>
    <w:rsid w:val="009D2769"/>
    <w:rsid w:val="009E3B69"/>
    <w:rsid w:val="009E59D8"/>
    <w:rsid w:val="009E5A65"/>
    <w:rsid w:val="009F20D9"/>
    <w:rsid w:val="009F3606"/>
    <w:rsid w:val="00A0352E"/>
    <w:rsid w:val="00A0589A"/>
    <w:rsid w:val="00A05C83"/>
    <w:rsid w:val="00A105F0"/>
    <w:rsid w:val="00A13164"/>
    <w:rsid w:val="00A14424"/>
    <w:rsid w:val="00A154DE"/>
    <w:rsid w:val="00A16F46"/>
    <w:rsid w:val="00A21368"/>
    <w:rsid w:val="00A2775A"/>
    <w:rsid w:val="00A422E6"/>
    <w:rsid w:val="00A527B9"/>
    <w:rsid w:val="00A552EA"/>
    <w:rsid w:val="00A815A3"/>
    <w:rsid w:val="00A82331"/>
    <w:rsid w:val="00A874CA"/>
    <w:rsid w:val="00A92CCE"/>
    <w:rsid w:val="00A9379A"/>
    <w:rsid w:val="00A94D8D"/>
    <w:rsid w:val="00A954B0"/>
    <w:rsid w:val="00A9778C"/>
    <w:rsid w:val="00AA195E"/>
    <w:rsid w:val="00AA5A1B"/>
    <w:rsid w:val="00AA5E8D"/>
    <w:rsid w:val="00AB0EE2"/>
    <w:rsid w:val="00AB33E5"/>
    <w:rsid w:val="00AB40B6"/>
    <w:rsid w:val="00AB42E7"/>
    <w:rsid w:val="00AB4B78"/>
    <w:rsid w:val="00AB60EB"/>
    <w:rsid w:val="00AC0BBF"/>
    <w:rsid w:val="00AC77C0"/>
    <w:rsid w:val="00AD16C8"/>
    <w:rsid w:val="00AD393F"/>
    <w:rsid w:val="00AE3EB4"/>
    <w:rsid w:val="00AE49DA"/>
    <w:rsid w:val="00AE5FE3"/>
    <w:rsid w:val="00AE678B"/>
    <w:rsid w:val="00AF3C8B"/>
    <w:rsid w:val="00AF6147"/>
    <w:rsid w:val="00B03E0E"/>
    <w:rsid w:val="00B159E5"/>
    <w:rsid w:val="00B20CA0"/>
    <w:rsid w:val="00B22EA4"/>
    <w:rsid w:val="00B248DA"/>
    <w:rsid w:val="00B27358"/>
    <w:rsid w:val="00B31619"/>
    <w:rsid w:val="00B33221"/>
    <w:rsid w:val="00B34159"/>
    <w:rsid w:val="00B34839"/>
    <w:rsid w:val="00B46829"/>
    <w:rsid w:val="00B477A2"/>
    <w:rsid w:val="00B53AF7"/>
    <w:rsid w:val="00B5706A"/>
    <w:rsid w:val="00B61D1C"/>
    <w:rsid w:val="00B64951"/>
    <w:rsid w:val="00B8077D"/>
    <w:rsid w:val="00B839C3"/>
    <w:rsid w:val="00B87DC9"/>
    <w:rsid w:val="00B915AE"/>
    <w:rsid w:val="00BA41FA"/>
    <w:rsid w:val="00BA4C16"/>
    <w:rsid w:val="00BB1AAB"/>
    <w:rsid w:val="00BC0534"/>
    <w:rsid w:val="00BD2745"/>
    <w:rsid w:val="00BD4C8D"/>
    <w:rsid w:val="00BE2570"/>
    <w:rsid w:val="00BE4652"/>
    <w:rsid w:val="00BE57BB"/>
    <w:rsid w:val="00BE64FA"/>
    <w:rsid w:val="00BF13B9"/>
    <w:rsid w:val="00BF2789"/>
    <w:rsid w:val="00BF473E"/>
    <w:rsid w:val="00C054F4"/>
    <w:rsid w:val="00C07A3B"/>
    <w:rsid w:val="00C13CC0"/>
    <w:rsid w:val="00C164E5"/>
    <w:rsid w:val="00C20EE3"/>
    <w:rsid w:val="00C213EA"/>
    <w:rsid w:val="00C31141"/>
    <w:rsid w:val="00C343AE"/>
    <w:rsid w:val="00C41341"/>
    <w:rsid w:val="00C416E7"/>
    <w:rsid w:val="00C438B8"/>
    <w:rsid w:val="00C464B6"/>
    <w:rsid w:val="00C62629"/>
    <w:rsid w:val="00C6625F"/>
    <w:rsid w:val="00C81279"/>
    <w:rsid w:val="00C82083"/>
    <w:rsid w:val="00C86F1E"/>
    <w:rsid w:val="00C939CE"/>
    <w:rsid w:val="00CA1B0C"/>
    <w:rsid w:val="00CA6647"/>
    <w:rsid w:val="00CE0F86"/>
    <w:rsid w:val="00CE32C0"/>
    <w:rsid w:val="00CE34E1"/>
    <w:rsid w:val="00CF6A86"/>
    <w:rsid w:val="00D1043B"/>
    <w:rsid w:val="00D1084D"/>
    <w:rsid w:val="00D13CB0"/>
    <w:rsid w:val="00D145A2"/>
    <w:rsid w:val="00D201E1"/>
    <w:rsid w:val="00D20ACF"/>
    <w:rsid w:val="00D2260C"/>
    <w:rsid w:val="00D41C3C"/>
    <w:rsid w:val="00D4214A"/>
    <w:rsid w:val="00D44B6C"/>
    <w:rsid w:val="00D44F69"/>
    <w:rsid w:val="00D4707A"/>
    <w:rsid w:val="00D61DBB"/>
    <w:rsid w:val="00D63EFB"/>
    <w:rsid w:val="00D764A6"/>
    <w:rsid w:val="00D81671"/>
    <w:rsid w:val="00D84532"/>
    <w:rsid w:val="00D9156D"/>
    <w:rsid w:val="00D94724"/>
    <w:rsid w:val="00DA3238"/>
    <w:rsid w:val="00DA5C48"/>
    <w:rsid w:val="00DA60B4"/>
    <w:rsid w:val="00DB6837"/>
    <w:rsid w:val="00DB6E7E"/>
    <w:rsid w:val="00DD3C55"/>
    <w:rsid w:val="00DE4B48"/>
    <w:rsid w:val="00DE6E60"/>
    <w:rsid w:val="00DE7282"/>
    <w:rsid w:val="00DE733C"/>
    <w:rsid w:val="00DF0A3A"/>
    <w:rsid w:val="00DF35C9"/>
    <w:rsid w:val="00E01014"/>
    <w:rsid w:val="00E063A0"/>
    <w:rsid w:val="00E21CA2"/>
    <w:rsid w:val="00E253BF"/>
    <w:rsid w:val="00E34644"/>
    <w:rsid w:val="00E35E7A"/>
    <w:rsid w:val="00E430E1"/>
    <w:rsid w:val="00E44DB6"/>
    <w:rsid w:val="00E46660"/>
    <w:rsid w:val="00E605FB"/>
    <w:rsid w:val="00E64168"/>
    <w:rsid w:val="00E71DC7"/>
    <w:rsid w:val="00E766F6"/>
    <w:rsid w:val="00E8484D"/>
    <w:rsid w:val="00E91F5E"/>
    <w:rsid w:val="00E9794A"/>
    <w:rsid w:val="00EA62A3"/>
    <w:rsid w:val="00EB361E"/>
    <w:rsid w:val="00EB4ACE"/>
    <w:rsid w:val="00EC26BE"/>
    <w:rsid w:val="00ED44C2"/>
    <w:rsid w:val="00EE5660"/>
    <w:rsid w:val="00EE7071"/>
    <w:rsid w:val="00EE74C9"/>
    <w:rsid w:val="00EF3514"/>
    <w:rsid w:val="00EF7AC6"/>
    <w:rsid w:val="00F07575"/>
    <w:rsid w:val="00F14EE2"/>
    <w:rsid w:val="00F34A75"/>
    <w:rsid w:val="00F35FC0"/>
    <w:rsid w:val="00F46AC7"/>
    <w:rsid w:val="00F52AF3"/>
    <w:rsid w:val="00F56862"/>
    <w:rsid w:val="00F619B7"/>
    <w:rsid w:val="00F624F3"/>
    <w:rsid w:val="00F62AE2"/>
    <w:rsid w:val="00F7661E"/>
    <w:rsid w:val="00F8498C"/>
    <w:rsid w:val="00F85123"/>
    <w:rsid w:val="00F93B41"/>
    <w:rsid w:val="00FA080B"/>
    <w:rsid w:val="00FA0A6D"/>
    <w:rsid w:val="00FA1FD0"/>
    <w:rsid w:val="00FC30D5"/>
    <w:rsid w:val="00FC5A2C"/>
    <w:rsid w:val="00FD09D7"/>
    <w:rsid w:val="00FD4DF0"/>
    <w:rsid w:val="00FD7B19"/>
    <w:rsid w:val="00FD7EA6"/>
    <w:rsid w:val="00FF204E"/>
    <w:rsid w:val="00FF41F8"/>
    <w:rsid w:val="00FF520A"/>
    <w:rsid w:val="063D494B"/>
    <w:rsid w:val="07AD603D"/>
    <w:rsid w:val="19250D50"/>
    <w:rsid w:val="20C55414"/>
    <w:rsid w:val="2110235C"/>
    <w:rsid w:val="24AE2ECE"/>
    <w:rsid w:val="29431740"/>
    <w:rsid w:val="2EFB2315"/>
    <w:rsid w:val="33886E5D"/>
    <w:rsid w:val="33FA48BB"/>
    <w:rsid w:val="36A857E3"/>
    <w:rsid w:val="36E85D97"/>
    <w:rsid w:val="3AD75EDA"/>
    <w:rsid w:val="467E4117"/>
    <w:rsid w:val="46BE7C9E"/>
    <w:rsid w:val="4AB735CF"/>
    <w:rsid w:val="50541CC5"/>
    <w:rsid w:val="5A7C1108"/>
    <w:rsid w:val="5CB85D2B"/>
    <w:rsid w:val="5E302094"/>
    <w:rsid w:val="615E5539"/>
    <w:rsid w:val="643F54AB"/>
    <w:rsid w:val="6E0C6798"/>
    <w:rsid w:val="74335F18"/>
    <w:rsid w:val="7E937DEA"/>
    <w:rsid w:val="7F6F11D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hr-HR" w:eastAsia="hr-HR" w:bidi="ar-SA"/>
    </w:rPr>
  </w:style>
  <w:style w:type="paragraph" w:styleId="2">
    <w:name w:val="heading 1"/>
    <w:basedOn w:val="1"/>
    <w:next w:val="1"/>
    <w:link w:val="12"/>
    <w:qFormat/>
    <w:uiPriority w:val="0"/>
    <w:pPr>
      <w:keepNext/>
      <w:jc w:val="center"/>
      <w:outlineLvl w:val="0"/>
    </w:pPr>
    <w:rPr>
      <w:sz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0"/>
    <w:semiHidden/>
    <w:unhideWhenUsed/>
    <w:qFormat/>
    <w:uiPriority w:val="99"/>
    <w:rPr>
      <w:rFonts w:ascii="Segoe UI" w:hAnsi="Segoe UI" w:cs="Segoe UI"/>
      <w:sz w:val="18"/>
      <w:szCs w:val="18"/>
    </w:rPr>
  </w:style>
  <w:style w:type="character" w:styleId="6">
    <w:name w:val="annotation reference"/>
    <w:basedOn w:val="3"/>
    <w:semiHidden/>
    <w:unhideWhenUsed/>
    <w:qFormat/>
    <w:uiPriority w:val="99"/>
    <w:rPr>
      <w:sz w:val="16"/>
      <w:szCs w:val="16"/>
    </w:rPr>
  </w:style>
  <w:style w:type="paragraph" w:styleId="7">
    <w:name w:val="annotation text"/>
    <w:basedOn w:val="1"/>
    <w:link w:val="18"/>
    <w:semiHidden/>
    <w:unhideWhenUsed/>
    <w:qFormat/>
    <w:uiPriority w:val="99"/>
    <w:rPr>
      <w:sz w:val="20"/>
      <w:szCs w:val="20"/>
    </w:rPr>
  </w:style>
  <w:style w:type="paragraph" w:styleId="8">
    <w:name w:val="annotation subject"/>
    <w:basedOn w:val="7"/>
    <w:next w:val="7"/>
    <w:link w:val="19"/>
    <w:semiHidden/>
    <w:unhideWhenUsed/>
    <w:qFormat/>
    <w:uiPriority w:val="99"/>
    <w:rPr>
      <w:b/>
      <w:bCs/>
    </w:rPr>
  </w:style>
  <w:style w:type="paragraph" w:styleId="9">
    <w:name w:val="footer"/>
    <w:basedOn w:val="1"/>
    <w:link w:val="16"/>
    <w:unhideWhenUsed/>
    <w:qFormat/>
    <w:uiPriority w:val="99"/>
    <w:pPr>
      <w:tabs>
        <w:tab w:val="center" w:pos="4536"/>
        <w:tab w:val="right" w:pos="9072"/>
      </w:tabs>
    </w:pPr>
  </w:style>
  <w:style w:type="paragraph" w:styleId="10">
    <w:name w:val="header"/>
    <w:basedOn w:val="1"/>
    <w:link w:val="15"/>
    <w:unhideWhenUsed/>
    <w:qFormat/>
    <w:uiPriority w:val="99"/>
    <w:pPr>
      <w:tabs>
        <w:tab w:val="center" w:pos="4536"/>
        <w:tab w:val="right" w:pos="9072"/>
      </w:tabs>
    </w:pPr>
  </w:style>
  <w:style w:type="character" w:styleId="11">
    <w:name w:val="Strong"/>
    <w:basedOn w:val="3"/>
    <w:qFormat/>
    <w:uiPriority w:val="0"/>
    <w:rPr>
      <w:b/>
      <w:bCs/>
    </w:rPr>
  </w:style>
  <w:style w:type="character" w:customStyle="1" w:styleId="12">
    <w:name w:val="Heading 1 Char"/>
    <w:basedOn w:val="3"/>
    <w:link w:val="2"/>
    <w:qFormat/>
    <w:uiPriority w:val="0"/>
    <w:rPr>
      <w:rFonts w:ascii="Times New Roman" w:hAnsi="Times New Roman" w:eastAsia="Times New Roman" w:cs="Times New Roman"/>
      <w:sz w:val="32"/>
      <w:szCs w:val="24"/>
      <w:lang w:eastAsia="hr-HR"/>
    </w:rPr>
  </w:style>
  <w:style w:type="paragraph" w:styleId="13">
    <w:name w:val="List Paragraph"/>
    <w:basedOn w:val="1"/>
    <w:qFormat/>
    <w:uiPriority w:val="34"/>
    <w:pPr>
      <w:ind w:left="720"/>
      <w:contextualSpacing/>
    </w:pPr>
  </w:style>
  <w:style w:type="paragraph" w:customStyle="1" w:styleId="14">
    <w:name w:val="box_460409"/>
    <w:basedOn w:val="1"/>
    <w:qFormat/>
    <w:uiPriority w:val="0"/>
    <w:pPr>
      <w:spacing w:before="100" w:beforeAutospacing="1" w:after="100" w:afterAutospacing="1"/>
    </w:pPr>
  </w:style>
  <w:style w:type="character" w:customStyle="1" w:styleId="15">
    <w:name w:val="Header Char"/>
    <w:basedOn w:val="3"/>
    <w:link w:val="10"/>
    <w:qFormat/>
    <w:uiPriority w:val="99"/>
    <w:rPr>
      <w:rFonts w:ascii="Times New Roman" w:hAnsi="Times New Roman" w:eastAsia="Times New Roman" w:cs="Times New Roman"/>
      <w:sz w:val="24"/>
      <w:szCs w:val="24"/>
      <w:lang w:eastAsia="hr-HR"/>
    </w:rPr>
  </w:style>
  <w:style w:type="character" w:customStyle="1" w:styleId="16">
    <w:name w:val="Footer Char"/>
    <w:basedOn w:val="3"/>
    <w:link w:val="9"/>
    <w:qFormat/>
    <w:uiPriority w:val="99"/>
    <w:rPr>
      <w:rFonts w:ascii="Times New Roman" w:hAnsi="Times New Roman" w:eastAsia="Times New Roman" w:cs="Times New Roman"/>
      <w:sz w:val="24"/>
      <w:szCs w:val="24"/>
      <w:lang w:eastAsia="hr-HR"/>
    </w:rPr>
  </w:style>
  <w:style w:type="paragraph" w:styleId="17">
    <w:name w:val="No Spacing"/>
    <w:qFormat/>
    <w:uiPriority w:val="1"/>
    <w:pPr>
      <w:spacing w:after="0" w:line="240" w:lineRule="auto"/>
    </w:pPr>
    <w:rPr>
      <w:rFonts w:asciiTheme="minorHAnsi" w:hAnsiTheme="minorHAnsi" w:eastAsiaTheme="minorHAnsi" w:cstheme="minorBidi"/>
      <w:sz w:val="22"/>
      <w:szCs w:val="22"/>
      <w:lang w:val="hr-HR" w:eastAsia="en-US" w:bidi="ar-SA"/>
    </w:rPr>
  </w:style>
  <w:style w:type="character" w:customStyle="1" w:styleId="18">
    <w:name w:val="Comment Text Char"/>
    <w:basedOn w:val="3"/>
    <w:link w:val="7"/>
    <w:semiHidden/>
    <w:qFormat/>
    <w:uiPriority w:val="99"/>
    <w:rPr>
      <w:rFonts w:ascii="Times New Roman" w:hAnsi="Times New Roman" w:eastAsia="Times New Roman" w:cs="Times New Roman"/>
      <w:sz w:val="20"/>
      <w:szCs w:val="20"/>
      <w:lang w:eastAsia="hr-HR"/>
    </w:rPr>
  </w:style>
  <w:style w:type="character" w:customStyle="1" w:styleId="19">
    <w:name w:val="Comment Subject Char"/>
    <w:basedOn w:val="18"/>
    <w:link w:val="8"/>
    <w:semiHidden/>
    <w:qFormat/>
    <w:uiPriority w:val="99"/>
    <w:rPr>
      <w:rFonts w:ascii="Times New Roman" w:hAnsi="Times New Roman" w:eastAsia="Times New Roman" w:cs="Times New Roman"/>
      <w:b/>
      <w:bCs/>
      <w:sz w:val="20"/>
      <w:szCs w:val="20"/>
      <w:lang w:eastAsia="hr-HR"/>
    </w:rPr>
  </w:style>
  <w:style w:type="character" w:customStyle="1" w:styleId="20">
    <w:name w:val="Balloon Text Char"/>
    <w:basedOn w:val="3"/>
    <w:link w:val="5"/>
    <w:semiHidden/>
    <w:qFormat/>
    <w:uiPriority w:val="99"/>
    <w:rPr>
      <w:rFonts w:ascii="Segoe UI" w:hAnsi="Segoe UI" w:eastAsia="Times New Roman" w:cs="Segoe UI"/>
      <w:sz w:val="18"/>
      <w:szCs w:val="18"/>
      <w:lang w:eastAsia="hr-HR"/>
    </w:rPr>
  </w:style>
  <w:style w:type="character" w:customStyle="1" w:styleId="21">
    <w:name w:val="hascaption"/>
    <w:basedOn w:val="3"/>
    <w:qFormat/>
    <w:uiPriority w:val="0"/>
  </w:style>
  <w:style w:type="table" w:customStyle="1" w:styleId="22">
    <w:name w:val="Table Normal1"/>
    <w:semiHidden/>
    <w:unhideWhenUsed/>
    <w:qFormat/>
    <w:uiPriority w:val="2"/>
    <w:pPr>
      <w:widowControl w:val="0"/>
      <w:spacing w:after="0" w:line="240" w:lineRule="auto"/>
    </w:pPr>
    <w:rPr>
      <w:lang w:val="en-US"/>
    </w:rPr>
    <w:tblPr>
      <w:tblCellMar>
        <w:top w:w="0" w:type="dxa"/>
        <w:left w:w="0" w:type="dxa"/>
        <w:bottom w:w="0" w:type="dxa"/>
        <w:right w:w="0" w:type="dxa"/>
      </w:tblCellMar>
    </w:tblPr>
  </w:style>
  <w:style w:type="paragraph" w:customStyle="1" w:styleId="23">
    <w:name w:val="Table Paragraph"/>
    <w:basedOn w:val="1"/>
    <w:qFormat/>
    <w:uiPriority w:val="1"/>
    <w:pPr>
      <w:widowControl w:val="0"/>
    </w:pPr>
    <w:rPr>
      <w:rFonts w:asciiTheme="minorHAnsi" w:hAnsiTheme="minorHAnsi" w:eastAsiaTheme="minorHAnsi" w:cstheme="minorBidi"/>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273B9-8F56-4902-B4DB-372FE2C88DA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6647</Words>
  <Characters>37889</Characters>
  <Lines>315</Lines>
  <Paragraphs>88</Paragraphs>
  <TotalTime>81</TotalTime>
  <ScaleCrop>false</ScaleCrop>
  <LinksUpToDate>false</LinksUpToDate>
  <CharactersWithSpaces>44448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2024-03-07T10:06:00Z</dcterms:created>
  <dc:creator>HP280</dc:creator>
  <cp:lastModifiedBy>TZ Dugi otok</cp:lastModifiedBy>
  <cp:lastPrinted>2025-03-25T07:40:00Z</cp:lastPrinted>
  <dcterms:modified xsi:type="dcterms:W3CDTF">2026-02-25T07:10:18Z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BABCE73F4C464C3A82C0A1C23C382883_13</vt:lpwstr>
  </property>
</Properties>
</file>